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6F4F" w14:textId="77777777" w:rsidR="000159DF" w:rsidRDefault="000159DF" w:rsidP="00162CF9">
      <w:pPr>
        <w:spacing w:after="0" w:line="240" w:lineRule="auto"/>
      </w:pPr>
    </w:p>
    <w:bookmarkStart w:id="0" w:name="_Toc219273862" w:displacedByCustomXml="next"/>
    <w:sdt>
      <w:sdtPr>
        <w:rPr>
          <w:rFonts w:eastAsiaTheme="minorHAnsi" w:cstheme="minorBidi"/>
          <w:b w:val="0"/>
          <w:bCs w:val="0"/>
          <w:sz w:val="24"/>
          <w:szCs w:val="22"/>
        </w:rPr>
        <w:id w:val="17428377"/>
        <w:docPartObj>
          <w:docPartGallery w:val="Table of Contents"/>
          <w:docPartUnique/>
        </w:docPartObj>
      </w:sdtPr>
      <w:sdtEndPr>
        <w:rPr>
          <w:noProof/>
        </w:rPr>
      </w:sdtEndPr>
      <w:sdtContent>
        <w:p w14:paraId="50771825" w14:textId="77777777" w:rsidR="00162CF9" w:rsidRDefault="00162CF9" w:rsidP="003127C3">
          <w:pPr>
            <w:pStyle w:val="Heading1"/>
          </w:pPr>
          <w:r>
            <w:t>Table of Contents</w:t>
          </w:r>
          <w:bookmarkEnd w:id="0"/>
        </w:p>
        <w:p w14:paraId="03E61365" w14:textId="77777777" w:rsidR="00162CF9" w:rsidRPr="00162CF9" w:rsidRDefault="00162CF9" w:rsidP="00162CF9">
          <w:pPr>
            <w:spacing w:after="0" w:line="240" w:lineRule="auto"/>
            <w:rPr>
              <w:lang w:val="en-US" w:eastAsia="ja-JP"/>
            </w:rPr>
          </w:pPr>
        </w:p>
        <w:p w14:paraId="714A50C1" w14:textId="056EF55E" w:rsidR="007F32AD" w:rsidRDefault="00C523E6">
          <w:pPr>
            <w:pStyle w:val="TOC1"/>
            <w:tabs>
              <w:tab w:val="right" w:leader="dot" w:pos="10070"/>
            </w:tabs>
            <w:rPr>
              <w:rFonts w:eastAsiaTheme="minorEastAsia"/>
              <w:noProof/>
              <w:kern w:val="2"/>
              <w:szCs w:val="24"/>
              <w:lang w:val="en-US"/>
              <w14:ligatures w14:val="standardContextual"/>
            </w:rPr>
          </w:pPr>
          <w:r>
            <w:fldChar w:fldCharType="begin"/>
          </w:r>
          <w:r w:rsidR="00162CF9">
            <w:instrText xml:space="preserve"> TOC \o "1-3" \h \z \u </w:instrText>
          </w:r>
          <w:r>
            <w:fldChar w:fldCharType="separate"/>
          </w:r>
          <w:hyperlink w:anchor="_Toc219273862" w:history="1">
            <w:r w:rsidR="007F32AD" w:rsidRPr="00971C4A">
              <w:rPr>
                <w:rStyle w:val="Hyperlink"/>
                <w:noProof/>
              </w:rPr>
              <w:t>Table of Contents</w:t>
            </w:r>
            <w:r w:rsidR="007F32AD">
              <w:rPr>
                <w:noProof/>
                <w:webHidden/>
              </w:rPr>
              <w:tab/>
            </w:r>
            <w:r w:rsidR="007F32AD">
              <w:rPr>
                <w:noProof/>
                <w:webHidden/>
              </w:rPr>
              <w:fldChar w:fldCharType="begin"/>
            </w:r>
            <w:r w:rsidR="007F32AD">
              <w:rPr>
                <w:noProof/>
                <w:webHidden/>
              </w:rPr>
              <w:instrText xml:space="preserve"> PAGEREF _Toc219273862 \h </w:instrText>
            </w:r>
            <w:r w:rsidR="007F32AD">
              <w:rPr>
                <w:noProof/>
                <w:webHidden/>
              </w:rPr>
            </w:r>
            <w:r w:rsidR="007F32AD">
              <w:rPr>
                <w:noProof/>
                <w:webHidden/>
              </w:rPr>
              <w:fldChar w:fldCharType="separate"/>
            </w:r>
            <w:r w:rsidR="007F32AD">
              <w:rPr>
                <w:noProof/>
                <w:webHidden/>
              </w:rPr>
              <w:t>1</w:t>
            </w:r>
            <w:r w:rsidR="007F32AD">
              <w:rPr>
                <w:noProof/>
                <w:webHidden/>
              </w:rPr>
              <w:fldChar w:fldCharType="end"/>
            </w:r>
          </w:hyperlink>
        </w:p>
        <w:p w14:paraId="4B08DEF1" w14:textId="69393C56" w:rsidR="007F32AD" w:rsidRDefault="007F32AD">
          <w:pPr>
            <w:pStyle w:val="TOC1"/>
            <w:tabs>
              <w:tab w:val="right" w:leader="dot" w:pos="10070"/>
            </w:tabs>
            <w:rPr>
              <w:rFonts w:eastAsiaTheme="minorEastAsia"/>
              <w:noProof/>
              <w:kern w:val="2"/>
              <w:szCs w:val="24"/>
              <w:lang w:val="en-US"/>
              <w14:ligatures w14:val="standardContextual"/>
            </w:rPr>
          </w:pPr>
          <w:hyperlink w:anchor="_Toc219273863" w:history="1">
            <w:r w:rsidRPr="00971C4A">
              <w:rPr>
                <w:rStyle w:val="Hyperlink"/>
                <w:noProof/>
              </w:rPr>
              <w:t>Case Definition</w:t>
            </w:r>
            <w:r>
              <w:rPr>
                <w:noProof/>
                <w:webHidden/>
              </w:rPr>
              <w:tab/>
            </w:r>
            <w:r>
              <w:rPr>
                <w:noProof/>
                <w:webHidden/>
              </w:rPr>
              <w:fldChar w:fldCharType="begin"/>
            </w:r>
            <w:r>
              <w:rPr>
                <w:noProof/>
                <w:webHidden/>
              </w:rPr>
              <w:instrText xml:space="preserve"> PAGEREF _Toc219273863 \h </w:instrText>
            </w:r>
            <w:r>
              <w:rPr>
                <w:noProof/>
                <w:webHidden/>
              </w:rPr>
            </w:r>
            <w:r>
              <w:rPr>
                <w:noProof/>
                <w:webHidden/>
              </w:rPr>
              <w:fldChar w:fldCharType="separate"/>
            </w:r>
            <w:r>
              <w:rPr>
                <w:noProof/>
                <w:webHidden/>
              </w:rPr>
              <w:t>3</w:t>
            </w:r>
            <w:r>
              <w:rPr>
                <w:noProof/>
                <w:webHidden/>
              </w:rPr>
              <w:fldChar w:fldCharType="end"/>
            </w:r>
          </w:hyperlink>
        </w:p>
        <w:p w14:paraId="2E5DB3DF" w14:textId="6B7F7C19" w:rsidR="007F32AD" w:rsidRDefault="007F32AD">
          <w:pPr>
            <w:pStyle w:val="TOC1"/>
            <w:tabs>
              <w:tab w:val="right" w:leader="dot" w:pos="10070"/>
            </w:tabs>
            <w:rPr>
              <w:rFonts w:eastAsiaTheme="minorEastAsia"/>
              <w:noProof/>
              <w:kern w:val="2"/>
              <w:szCs w:val="24"/>
              <w:lang w:val="en-US"/>
              <w14:ligatures w14:val="standardContextual"/>
            </w:rPr>
          </w:pPr>
          <w:hyperlink w:anchor="_Toc219273864" w:history="1">
            <w:r w:rsidRPr="00971C4A">
              <w:rPr>
                <w:rStyle w:val="Hyperlink"/>
                <w:noProof/>
              </w:rPr>
              <w:t>Reporting Requirements</w:t>
            </w:r>
            <w:r>
              <w:rPr>
                <w:noProof/>
                <w:webHidden/>
              </w:rPr>
              <w:tab/>
            </w:r>
            <w:r>
              <w:rPr>
                <w:noProof/>
                <w:webHidden/>
              </w:rPr>
              <w:fldChar w:fldCharType="begin"/>
            </w:r>
            <w:r>
              <w:rPr>
                <w:noProof/>
                <w:webHidden/>
              </w:rPr>
              <w:instrText xml:space="preserve"> PAGEREF _Toc219273864 \h </w:instrText>
            </w:r>
            <w:r>
              <w:rPr>
                <w:noProof/>
                <w:webHidden/>
              </w:rPr>
            </w:r>
            <w:r>
              <w:rPr>
                <w:noProof/>
                <w:webHidden/>
              </w:rPr>
              <w:fldChar w:fldCharType="separate"/>
            </w:r>
            <w:r>
              <w:rPr>
                <w:noProof/>
                <w:webHidden/>
              </w:rPr>
              <w:t>4</w:t>
            </w:r>
            <w:r>
              <w:rPr>
                <w:noProof/>
                <w:webHidden/>
              </w:rPr>
              <w:fldChar w:fldCharType="end"/>
            </w:r>
          </w:hyperlink>
        </w:p>
        <w:p w14:paraId="5BCA3033" w14:textId="71CD53A5" w:rsidR="007F32AD" w:rsidRDefault="007F32AD">
          <w:pPr>
            <w:pStyle w:val="TOC2"/>
            <w:tabs>
              <w:tab w:val="right" w:leader="dot" w:pos="10070"/>
            </w:tabs>
            <w:rPr>
              <w:rFonts w:eastAsiaTheme="minorEastAsia"/>
              <w:noProof/>
              <w:kern w:val="2"/>
              <w:szCs w:val="24"/>
              <w:lang w:val="en-US"/>
              <w14:ligatures w14:val="standardContextual"/>
            </w:rPr>
          </w:pPr>
          <w:hyperlink w:anchor="_Toc219273865" w:history="1">
            <w:r w:rsidRPr="00971C4A">
              <w:rPr>
                <w:rStyle w:val="Hyperlink"/>
                <w:noProof/>
              </w:rPr>
              <w:t>Physicians, Health Practitioners and others</w:t>
            </w:r>
            <w:r>
              <w:rPr>
                <w:noProof/>
                <w:webHidden/>
              </w:rPr>
              <w:tab/>
            </w:r>
            <w:r>
              <w:rPr>
                <w:noProof/>
                <w:webHidden/>
              </w:rPr>
              <w:fldChar w:fldCharType="begin"/>
            </w:r>
            <w:r>
              <w:rPr>
                <w:noProof/>
                <w:webHidden/>
              </w:rPr>
              <w:instrText xml:space="preserve"> PAGEREF _Toc219273865 \h </w:instrText>
            </w:r>
            <w:r>
              <w:rPr>
                <w:noProof/>
                <w:webHidden/>
              </w:rPr>
            </w:r>
            <w:r>
              <w:rPr>
                <w:noProof/>
                <w:webHidden/>
              </w:rPr>
              <w:fldChar w:fldCharType="separate"/>
            </w:r>
            <w:r>
              <w:rPr>
                <w:noProof/>
                <w:webHidden/>
              </w:rPr>
              <w:t>4</w:t>
            </w:r>
            <w:r>
              <w:rPr>
                <w:noProof/>
                <w:webHidden/>
              </w:rPr>
              <w:fldChar w:fldCharType="end"/>
            </w:r>
          </w:hyperlink>
        </w:p>
        <w:p w14:paraId="76A80B96" w14:textId="6FAC3114" w:rsidR="007F32AD" w:rsidRDefault="007F32AD">
          <w:pPr>
            <w:pStyle w:val="TOC2"/>
            <w:tabs>
              <w:tab w:val="right" w:leader="dot" w:pos="10070"/>
            </w:tabs>
            <w:rPr>
              <w:rFonts w:eastAsiaTheme="minorEastAsia"/>
              <w:noProof/>
              <w:kern w:val="2"/>
              <w:szCs w:val="24"/>
              <w:lang w:val="en-US"/>
              <w14:ligatures w14:val="standardContextual"/>
            </w:rPr>
          </w:pPr>
          <w:hyperlink w:anchor="_Toc219273866" w:history="1">
            <w:r w:rsidRPr="00971C4A">
              <w:rPr>
                <w:rStyle w:val="Hyperlink"/>
                <w:noProof/>
              </w:rPr>
              <w:t>Laboratories</w:t>
            </w:r>
            <w:r>
              <w:rPr>
                <w:noProof/>
                <w:webHidden/>
              </w:rPr>
              <w:tab/>
            </w:r>
            <w:r>
              <w:rPr>
                <w:noProof/>
                <w:webHidden/>
              </w:rPr>
              <w:fldChar w:fldCharType="begin"/>
            </w:r>
            <w:r>
              <w:rPr>
                <w:noProof/>
                <w:webHidden/>
              </w:rPr>
              <w:instrText xml:space="preserve"> PAGEREF _Toc219273866 \h </w:instrText>
            </w:r>
            <w:r>
              <w:rPr>
                <w:noProof/>
                <w:webHidden/>
              </w:rPr>
            </w:r>
            <w:r>
              <w:rPr>
                <w:noProof/>
                <w:webHidden/>
              </w:rPr>
              <w:fldChar w:fldCharType="separate"/>
            </w:r>
            <w:r>
              <w:rPr>
                <w:noProof/>
                <w:webHidden/>
              </w:rPr>
              <w:t>4</w:t>
            </w:r>
            <w:r>
              <w:rPr>
                <w:noProof/>
                <w:webHidden/>
              </w:rPr>
              <w:fldChar w:fldCharType="end"/>
            </w:r>
          </w:hyperlink>
        </w:p>
        <w:p w14:paraId="27D16B63" w14:textId="2B957B73" w:rsidR="007F32AD" w:rsidRDefault="007F32AD">
          <w:pPr>
            <w:pStyle w:val="TOC1"/>
            <w:tabs>
              <w:tab w:val="right" w:leader="dot" w:pos="10070"/>
            </w:tabs>
            <w:rPr>
              <w:rFonts w:eastAsiaTheme="minorEastAsia"/>
              <w:noProof/>
              <w:kern w:val="2"/>
              <w:szCs w:val="24"/>
              <w:lang w:val="en-US"/>
              <w14:ligatures w14:val="standardContextual"/>
            </w:rPr>
          </w:pPr>
          <w:hyperlink w:anchor="_Toc219273867" w:history="1">
            <w:r w:rsidRPr="00971C4A">
              <w:rPr>
                <w:rStyle w:val="Hyperlink"/>
                <w:noProof/>
              </w:rPr>
              <w:t>Etiology</w:t>
            </w:r>
            <w:r>
              <w:rPr>
                <w:noProof/>
                <w:webHidden/>
              </w:rPr>
              <w:tab/>
            </w:r>
            <w:r>
              <w:rPr>
                <w:noProof/>
                <w:webHidden/>
              </w:rPr>
              <w:fldChar w:fldCharType="begin"/>
            </w:r>
            <w:r>
              <w:rPr>
                <w:noProof/>
                <w:webHidden/>
              </w:rPr>
              <w:instrText xml:space="preserve"> PAGEREF _Toc219273867 \h </w:instrText>
            </w:r>
            <w:r>
              <w:rPr>
                <w:noProof/>
                <w:webHidden/>
              </w:rPr>
            </w:r>
            <w:r>
              <w:rPr>
                <w:noProof/>
                <w:webHidden/>
              </w:rPr>
              <w:fldChar w:fldCharType="separate"/>
            </w:r>
            <w:r>
              <w:rPr>
                <w:noProof/>
                <w:webHidden/>
              </w:rPr>
              <w:t>5</w:t>
            </w:r>
            <w:r>
              <w:rPr>
                <w:noProof/>
                <w:webHidden/>
              </w:rPr>
              <w:fldChar w:fldCharType="end"/>
            </w:r>
          </w:hyperlink>
        </w:p>
        <w:p w14:paraId="28116C0A" w14:textId="40D08773" w:rsidR="007F32AD" w:rsidRDefault="007F32AD">
          <w:pPr>
            <w:pStyle w:val="TOC1"/>
            <w:tabs>
              <w:tab w:val="right" w:leader="dot" w:pos="10070"/>
            </w:tabs>
            <w:rPr>
              <w:rFonts w:eastAsiaTheme="minorEastAsia"/>
              <w:noProof/>
              <w:kern w:val="2"/>
              <w:szCs w:val="24"/>
              <w:lang w:val="en-US"/>
              <w14:ligatures w14:val="standardContextual"/>
            </w:rPr>
          </w:pPr>
          <w:hyperlink w:anchor="_Toc219273868" w:history="1">
            <w:r w:rsidRPr="00971C4A">
              <w:rPr>
                <w:rStyle w:val="Hyperlink"/>
                <w:noProof/>
              </w:rPr>
              <w:t>Clinical Presentation</w:t>
            </w:r>
            <w:r>
              <w:rPr>
                <w:noProof/>
                <w:webHidden/>
              </w:rPr>
              <w:tab/>
            </w:r>
            <w:r>
              <w:rPr>
                <w:noProof/>
                <w:webHidden/>
              </w:rPr>
              <w:fldChar w:fldCharType="begin"/>
            </w:r>
            <w:r>
              <w:rPr>
                <w:noProof/>
                <w:webHidden/>
              </w:rPr>
              <w:instrText xml:space="preserve"> PAGEREF _Toc219273868 \h </w:instrText>
            </w:r>
            <w:r>
              <w:rPr>
                <w:noProof/>
                <w:webHidden/>
              </w:rPr>
            </w:r>
            <w:r>
              <w:rPr>
                <w:noProof/>
                <w:webHidden/>
              </w:rPr>
              <w:fldChar w:fldCharType="separate"/>
            </w:r>
            <w:r>
              <w:rPr>
                <w:noProof/>
                <w:webHidden/>
              </w:rPr>
              <w:t>5</w:t>
            </w:r>
            <w:r>
              <w:rPr>
                <w:noProof/>
                <w:webHidden/>
              </w:rPr>
              <w:fldChar w:fldCharType="end"/>
            </w:r>
          </w:hyperlink>
        </w:p>
        <w:p w14:paraId="3F6A8284" w14:textId="79ACA090" w:rsidR="007F32AD" w:rsidRDefault="007F32AD">
          <w:pPr>
            <w:pStyle w:val="TOC2"/>
            <w:tabs>
              <w:tab w:val="right" w:leader="dot" w:pos="10070"/>
            </w:tabs>
            <w:rPr>
              <w:rFonts w:eastAsiaTheme="minorEastAsia"/>
              <w:noProof/>
              <w:kern w:val="2"/>
              <w:szCs w:val="24"/>
              <w:lang w:val="en-US"/>
              <w14:ligatures w14:val="standardContextual"/>
            </w:rPr>
          </w:pPr>
          <w:hyperlink w:anchor="_Toc219273869" w:history="1">
            <w:r w:rsidRPr="00971C4A">
              <w:rPr>
                <w:rStyle w:val="Hyperlink"/>
                <w:noProof/>
                <w:lang w:val="en-US"/>
              </w:rPr>
              <w:t>Chlamydia signs and symptoms</w:t>
            </w:r>
            <w:r>
              <w:rPr>
                <w:noProof/>
                <w:webHidden/>
              </w:rPr>
              <w:tab/>
            </w:r>
            <w:r>
              <w:rPr>
                <w:noProof/>
                <w:webHidden/>
              </w:rPr>
              <w:fldChar w:fldCharType="begin"/>
            </w:r>
            <w:r>
              <w:rPr>
                <w:noProof/>
                <w:webHidden/>
              </w:rPr>
              <w:instrText xml:space="preserve"> PAGEREF _Toc219273869 \h </w:instrText>
            </w:r>
            <w:r>
              <w:rPr>
                <w:noProof/>
                <w:webHidden/>
              </w:rPr>
            </w:r>
            <w:r>
              <w:rPr>
                <w:noProof/>
                <w:webHidden/>
              </w:rPr>
              <w:fldChar w:fldCharType="separate"/>
            </w:r>
            <w:r>
              <w:rPr>
                <w:noProof/>
                <w:webHidden/>
              </w:rPr>
              <w:t>5</w:t>
            </w:r>
            <w:r>
              <w:rPr>
                <w:noProof/>
                <w:webHidden/>
              </w:rPr>
              <w:fldChar w:fldCharType="end"/>
            </w:r>
          </w:hyperlink>
        </w:p>
        <w:p w14:paraId="741DD558" w14:textId="723B2A51" w:rsidR="007F32AD" w:rsidRDefault="007F32AD">
          <w:pPr>
            <w:pStyle w:val="TOC1"/>
            <w:tabs>
              <w:tab w:val="right" w:leader="dot" w:pos="10070"/>
            </w:tabs>
            <w:rPr>
              <w:rFonts w:eastAsiaTheme="minorEastAsia"/>
              <w:noProof/>
              <w:kern w:val="2"/>
              <w:szCs w:val="24"/>
              <w:lang w:val="en-US"/>
              <w14:ligatures w14:val="standardContextual"/>
            </w:rPr>
          </w:pPr>
          <w:hyperlink w:anchor="_Toc219273870" w:history="1">
            <w:r w:rsidRPr="00971C4A">
              <w:rPr>
                <w:rStyle w:val="Hyperlink"/>
                <w:noProof/>
              </w:rPr>
              <w:t>Diagnosis/Testing</w:t>
            </w:r>
            <w:r>
              <w:rPr>
                <w:noProof/>
                <w:webHidden/>
              </w:rPr>
              <w:tab/>
            </w:r>
            <w:r>
              <w:rPr>
                <w:noProof/>
                <w:webHidden/>
              </w:rPr>
              <w:fldChar w:fldCharType="begin"/>
            </w:r>
            <w:r>
              <w:rPr>
                <w:noProof/>
                <w:webHidden/>
              </w:rPr>
              <w:instrText xml:space="preserve"> PAGEREF _Toc219273870 \h </w:instrText>
            </w:r>
            <w:r>
              <w:rPr>
                <w:noProof/>
                <w:webHidden/>
              </w:rPr>
            </w:r>
            <w:r>
              <w:rPr>
                <w:noProof/>
                <w:webHidden/>
              </w:rPr>
              <w:fldChar w:fldCharType="separate"/>
            </w:r>
            <w:r>
              <w:rPr>
                <w:noProof/>
                <w:webHidden/>
              </w:rPr>
              <w:t>6</w:t>
            </w:r>
            <w:r>
              <w:rPr>
                <w:noProof/>
                <w:webHidden/>
              </w:rPr>
              <w:fldChar w:fldCharType="end"/>
            </w:r>
          </w:hyperlink>
        </w:p>
        <w:p w14:paraId="378E978A" w14:textId="61A1323C" w:rsidR="007F32AD" w:rsidRDefault="007F32AD">
          <w:pPr>
            <w:pStyle w:val="TOC1"/>
            <w:tabs>
              <w:tab w:val="right" w:leader="dot" w:pos="10070"/>
            </w:tabs>
            <w:rPr>
              <w:rFonts w:eastAsiaTheme="minorEastAsia"/>
              <w:noProof/>
              <w:kern w:val="2"/>
              <w:szCs w:val="24"/>
              <w:lang w:val="en-US"/>
              <w14:ligatures w14:val="standardContextual"/>
            </w:rPr>
          </w:pPr>
          <w:hyperlink w:anchor="_Toc219273871" w:history="1">
            <w:r w:rsidRPr="00971C4A">
              <w:rPr>
                <w:rStyle w:val="Hyperlink"/>
                <w:noProof/>
              </w:rPr>
              <w:t>Epidemiology</w:t>
            </w:r>
            <w:r>
              <w:rPr>
                <w:noProof/>
                <w:webHidden/>
              </w:rPr>
              <w:tab/>
            </w:r>
            <w:r>
              <w:rPr>
                <w:noProof/>
                <w:webHidden/>
              </w:rPr>
              <w:fldChar w:fldCharType="begin"/>
            </w:r>
            <w:r>
              <w:rPr>
                <w:noProof/>
                <w:webHidden/>
              </w:rPr>
              <w:instrText xml:space="preserve"> PAGEREF _Toc219273871 \h </w:instrText>
            </w:r>
            <w:r>
              <w:rPr>
                <w:noProof/>
                <w:webHidden/>
              </w:rPr>
            </w:r>
            <w:r>
              <w:rPr>
                <w:noProof/>
                <w:webHidden/>
              </w:rPr>
              <w:fldChar w:fldCharType="separate"/>
            </w:r>
            <w:r>
              <w:rPr>
                <w:noProof/>
                <w:webHidden/>
              </w:rPr>
              <w:t>6</w:t>
            </w:r>
            <w:r>
              <w:rPr>
                <w:noProof/>
                <w:webHidden/>
              </w:rPr>
              <w:fldChar w:fldCharType="end"/>
            </w:r>
          </w:hyperlink>
        </w:p>
        <w:p w14:paraId="74586BA9" w14:textId="2B19121E" w:rsidR="007F32AD" w:rsidRDefault="007F32AD">
          <w:pPr>
            <w:pStyle w:val="TOC2"/>
            <w:tabs>
              <w:tab w:val="right" w:leader="dot" w:pos="10070"/>
            </w:tabs>
            <w:rPr>
              <w:rFonts w:eastAsiaTheme="minorEastAsia"/>
              <w:noProof/>
              <w:kern w:val="2"/>
              <w:szCs w:val="24"/>
              <w:lang w:val="en-US"/>
              <w14:ligatures w14:val="standardContextual"/>
            </w:rPr>
          </w:pPr>
          <w:hyperlink w:anchor="_Toc219273872" w:history="1">
            <w:r w:rsidRPr="00971C4A">
              <w:rPr>
                <w:rStyle w:val="Hyperlink"/>
                <w:noProof/>
              </w:rPr>
              <w:t>Reservoir</w:t>
            </w:r>
            <w:r>
              <w:rPr>
                <w:noProof/>
                <w:webHidden/>
              </w:rPr>
              <w:tab/>
            </w:r>
            <w:r>
              <w:rPr>
                <w:noProof/>
                <w:webHidden/>
              </w:rPr>
              <w:fldChar w:fldCharType="begin"/>
            </w:r>
            <w:r>
              <w:rPr>
                <w:noProof/>
                <w:webHidden/>
              </w:rPr>
              <w:instrText xml:space="preserve"> PAGEREF _Toc219273872 \h </w:instrText>
            </w:r>
            <w:r>
              <w:rPr>
                <w:noProof/>
                <w:webHidden/>
              </w:rPr>
            </w:r>
            <w:r>
              <w:rPr>
                <w:noProof/>
                <w:webHidden/>
              </w:rPr>
              <w:fldChar w:fldCharType="separate"/>
            </w:r>
            <w:r>
              <w:rPr>
                <w:noProof/>
                <w:webHidden/>
              </w:rPr>
              <w:t>6</w:t>
            </w:r>
            <w:r>
              <w:rPr>
                <w:noProof/>
                <w:webHidden/>
              </w:rPr>
              <w:fldChar w:fldCharType="end"/>
            </w:r>
          </w:hyperlink>
        </w:p>
        <w:p w14:paraId="7F272D20" w14:textId="466BDAEA" w:rsidR="007F32AD" w:rsidRDefault="007F32AD">
          <w:pPr>
            <w:pStyle w:val="TOC2"/>
            <w:tabs>
              <w:tab w:val="right" w:leader="dot" w:pos="10070"/>
            </w:tabs>
            <w:rPr>
              <w:rFonts w:eastAsiaTheme="minorEastAsia"/>
              <w:noProof/>
              <w:kern w:val="2"/>
              <w:szCs w:val="24"/>
              <w:lang w:val="en-US"/>
              <w14:ligatures w14:val="standardContextual"/>
            </w:rPr>
          </w:pPr>
          <w:hyperlink w:anchor="_Toc219273873" w:history="1">
            <w:r w:rsidRPr="00971C4A">
              <w:rPr>
                <w:rStyle w:val="Hyperlink"/>
                <w:noProof/>
              </w:rPr>
              <w:t>Transmission</w:t>
            </w:r>
            <w:r>
              <w:rPr>
                <w:noProof/>
                <w:webHidden/>
              </w:rPr>
              <w:tab/>
            </w:r>
            <w:r>
              <w:rPr>
                <w:noProof/>
                <w:webHidden/>
              </w:rPr>
              <w:fldChar w:fldCharType="begin"/>
            </w:r>
            <w:r>
              <w:rPr>
                <w:noProof/>
                <w:webHidden/>
              </w:rPr>
              <w:instrText xml:space="preserve"> PAGEREF _Toc219273873 \h </w:instrText>
            </w:r>
            <w:r>
              <w:rPr>
                <w:noProof/>
                <w:webHidden/>
              </w:rPr>
            </w:r>
            <w:r>
              <w:rPr>
                <w:noProof/>
                <w:webHidden/>
              </w:rPr>
              <w:fldChar w:fldCharType="separate"/>
            </w:r>
            <w:r>
              <w:rPr>
                <w:noProof/>
                <w:webHidden/>
              </w:rPr>
              <w:t>7</w:t>
            </w:r>
            <w:r>
              <w:rPr>
                <w:noProof/>
                <w:webHidden/>
              </w:rPr>
              <w:fldChar w:fldCharType="end"/>
            </w:r>
          </w:hyperlink>
        </w:p>
        <w:p w14:paraId="1CFB12D9" w14:textId="2930BFA9" w:rsidR="007F32AD" w:rsidRDefault="007F32AD">
          <w:pPr>
            <w:pStyle w:val="TOC2"/>
            <w:tabs>
              <w:tab w:val="right" w:leader="dot" w:pos="10070"/>
            </w:tabs>
            <w:rPr>
              <w:rFonts w:eastAsiaTheme="minorEastAsia"/>
              <w:noProof/>
              <w:kern w:val="2"/>
              <w:szCs w:val="24"/>
              <w:lang w:val="en-US"/>
              <w14:ligatures w14:val="standardContextual"/>
            </w:rPr>
          </w:pPr>
          <w:hyperlink w:anchor="_Toc219273874" w:history="1">
            <w:r w:rsidRPr="00971C4A">
              <w:rPr>
                <w:rStyle w:val="Hyperlink"/>
                <w:noProof/>
              </w:rPr>
              <w:t>Incubation Period</w:t>
            </w:r>
            <w:r>
              <w:rPr>
                <w:noProof/>
                <w:webHidden/>
              </w:rPr>
              <w:tab/>
            </w:r>
            <w:r>
              <w:rPr>
                <w:noProof/>
                <w:webHidden/>
              </w:rPr>
              <w:fldChar w:fldCharType="begin"/>
            </w:r>
            <w:r>
              <w:rPr>
                <w:noProof/>
                <w:webHidden/>
              </w:rPr>
              <w:instrText xml:space="preserve"> PAGEREF _Toc219273874 \h </w:instrText>
            </w:r>
            <w:r>
              <w:rPr>
                <w:noProof/>
                <w:webHidden/>
              </w:rPr>
            </w:r>
            <w:r>
              <w:rPr>
                <w:noProof/>
                <w:webHidden/>
              </w:rPr>
              <w:fldChar w:fldCharType="separate"/>
            </w:r>
            <w:r>
              <w:rPr>
                <w:noProof/>
                <w:webHidden/>
              </w:rPr>
              <w:t>7</w:t>
            </w:r>
            <w:r>
              <w:rPr>
                <w:noProof/>
                <w:webHidden/>
              </w:rPr>
              <w:fldChar w:fldCharType="end"/>
            </w:r>
          </w:hyperlink>
        </w:p>
        <w:p w14:paraId="670EC9CC" w14:textId="75C3384C" w:rsidR="007F32AD" w:rsidRDefault="007F32AD">
          <w:pPr>
            <w:pStyle w:val="TOC2"/>
            <w:tabs>
              <w:tab w:val="right" w:leader="dot" w:pos="10070"/>
            </w:tabs>
            <w:rPr>
              <w:rFonts w:eastAsiaTheme="minorEastAsia"/>
              <w:noProof/>
              <w:kern w:val="2"/>
              <w:szCs w:val="24"/>
              <w:lang w:val="en-US"/>
              <w14:ligatures w14:val="standardContextual"/>
            </w:rPr>
          </w:pPr>
          <w:hyperlink w:anchor="_Toc219273875" w:history="1">
            <w:r w:rsidRPr="00971C4A">
              <w:rPr>
                <w:rStyle w:val="Hyperlink"/>
                <w:noProof/>
              </w:rPr>
              <w:t>Period of Communicability</w:t>
            </w:r>
            <w:r>
              <w:rPr>
                <w:noProof/>
                <w:webHidden/>
              </w:rPr>
              <w:tab/>
            </w:r>
            <w:r>
              <w:rPr>
                <w:noProof/>
                <w:webHidden/>
              </w:rPr>
              <w:fldChar w:fldCharType="begin"/>
            </w:r>
            <w:r>
              <w:rPr>
                <w:noProof/>
                <w:webHidden/>
              </w:rPr>
              <w:instrText xml:space="preserve"> PAGEREF _Toc219273875 \h </w:instrText>
            </w:r>
            <w:r>
              <w:rPr>
                <w:noProof/>
                <w:webHidden/>
              </w:rPr>
            </w:r>
            <w:r>
              <w:rPr>
                <w:noProof/>
                <w:webHidden/>
              </w:rPr>
              <w:fldChar w:fldCharType="separate"/>
            </w:r>
            <w:r>
              <w:rPr>
                <w:noProof/>
                <w:webHidden/>
              </w:rPr>
              <w:t>7</w:t>
            </w:r>
            <w:r>
              <w:rPr>
                <w:noProof/>
                <w:webHidden/>
              </w:rPr>
              <w:fldChar w:fldCharType="end"/>
            </w:r>
          </w:hyperlink>
        </w:p>
        <w:p w14:paraId="3D609570" w14:textId="6E1FC5EA" w:rsidR="007F32AD" w:rsidRDefault="007F32AD">
          <w:pPr>
            <w:pStyle w:val="TOC2"/>
            <w:tabs>
              <w:tab w:val="right" w:leader="dot" w:pos="10070"/>
            </w:tabs>
            <w:rPr>
              <w:rFonts w:eastAsiaTheme="minorEastAsia"/>
              <w:noProof/>
              <w:kern w:val="2"/>
              <w:szCs w:val="24"/>
              <w:lang w:val="en-US"/>
              <w14:ligatures w14:val="standardContextual"/>
            </w:rPr>
          </w:pPr>
          <w:hyperlink w:anchor="_Toc219273876" w:history="1">
            <w:r w:rsidRPr="00971C4A">
              <w:rPr>
                <w:rStyle w:val="Hyperlink"/>
                <w:noProof/>
              </w:rPr>
              <w:t>Host susceptibility</w:t>
            </w:r>
            <w:r>
              <w:rPr>
                <w:noProof/>
                <w:webHidden/>
              </w:rPr>
              <w:tab/>
            </w:r>
            <w:r>
              <w:rPr>
                <w:noProof/>
                <w:webHidden/>
              </w:rPr>
              <w:fldChar w:fldCharType="begin"/>
            </w:r>
            <w:r>
              <w:rPr>
                <w:noProof/>
                <w:webHidden/>
              </w:rPr>
              <w:instrText xml:space="preserve"> PAGEREF _Toc219273876 \h </w:instrText>
            </w:r>
            <w:r>
              <w:rPr>
                <w:noProof/>
                <w:webHidden/>
              </w:rPr>
            </w:r>
            <w:r>
              <w:rPr>
                <w:noProof/>
                <w:webHidden/>
              </w:rPr>
              <w:fldChar w:fldCharType="separate"/>
            </w:r>
            <w:r>
              <w:rPr>
                <w:noProof/>
                <w:webHidden/>
              </w:rPr>
              <w:t>7</w:t>
            </w:r>
            <w:r>
              <w:rPr>
                <w:noProof/>
                <w:webHidden/>
              </w:rPr>
              <w:fldChar w:fldCharType="end"/>
            </w:r>
          </w:hyperlink>
        </w:p>
        <w:p w14:paraId="3D51CCF8" w14:textId="013AC869" w:rsidR="007F32AD" w:rsidRDefault="007F32AD">
          <w:pPr>
            <w:pStyle w:val="TOC1"/>
            <w:tabs>
              <w:tab w:val="right" w:leader="dot" w:pos="10070"/>
            </w:tabs>
            <w:rPr>
              <w:rFonts w:eastAsiaTheme="minorEastAsia"/>
              <w:noProof/>
              <w:kern w:val="2"/>
              <w:szCs w:val="24"/>
              <w:lang w:val="en-US"/>
              <w14:ligatures w14:val="standardContextual"/>
            </w:rPr>
          </w:pPr>
          <w:hyperlink w:anchor="_Toc219273877" w:history="1">
            <w:r w:rsidRPr="00971C4A">
              <w:rPr>
                <w:rStyle w:val="Hyperlink"/>
                <w:noProof/>
              </w:rPr>
              <w:t>Occurrence</w:t>
            </w:r>
            <w:r>
              <w:rPr>
                <w:noProof/>
                <w:webHidden/>
              </w:rPr>
              <w:tab/>
            </w:r>
            <w:r>
              <w:rPr>
                <w:noProof/>
                <w:webHidden/>
              </w:rPr>
              <w:fldChar w:fldCharType="begin"/>
            </w:r>
            <w:r>
              <w:rPr>
                <w:noProof/>
                <w:webHidden/>
              </w:rPr>
              <w:instrText xml:space="preserve"> PAGEREF _Toc219273877 \h </w:instrText>
            </w:r>
            <w:r>
              <w:rPr>
                <w:noProof/>
                <w:webHidden/>
              </w:rPr>
            </w:r>
            <w:r>
              <w:rPr>
                <w:noProof/>
                <w:webHidden/>
              </w:rPr>
              <w:fldChar w:fldCharType="separate"/>
            </w:r>
            <w:r>
              <w:rPr>
                <w:noProof/>
                <w:webHidden/>
              </w:rPr>
              <w:t>7</w:t>
            </w:r>
            <w:r>
              <w:rPr>
                <w:noProof/>
                <w:webHidden/>
              </w:rPr>
              <w:fldChar w:fldCharType="end"/>
            </w:r>
          </w:hyperlink>
        </w:p>
        <w:p w14:paraId="0631136C" w14:textId="40B6AC76" w:rsidR="007F32AD" w:rsidRDefault="007F32AD">
          <w:pPr>
            <w:pStyle w:val="TOC2"/>
            <w:tabs>
              <w:tab w:val="right" w:leader="dot" w:pos="10070"/>
            </w:tabs>
            <w:rPr>
              <w:rFonts w:eastAsiaTheme="minorEastAsia"/>
              <w:noProof/>
              <w:kern w:val="2"/>
              <w:szCs w:val="24"/>
              <w:lang w:val="en-US"/>
              <w14:ligatures w14:val="standardContextual"/>
            </w:rPr>
          </w:pPr>
          <w:hyperlink w:anchor="_Toc219273878" w:history="1">
            <w:r w:rsidRPr="00971C4A">
              <w:rPr>
                <w:rStyle w:val="Hyperlink"/>
                <w:noProof/>
              </w:rPr>
              <w:t>General</w:t>
            </w:r>
            <w:r>
              <w:rPr>
                <w:noProof/>
                <w:webHidden/>
              </w:rPr>
              <w:tab/>
            </w:r>
            <w:r>
              <w:rPr>
                <w:noProof/>
                <w:webHidden/>
              </w:rPr>
              <w:fldChar w:fldCharType="begin"/>
            </w:r>
            <w:r>
              <w:rPr>
                <w:noProof/>
                <w:webHidden/>
              </w:rPr>
              <w:instrText xml:space="preserve"> PAGEREF _Toc219273878 \h </w:instrText>
            </w:r>
            <w:r>
              <w:rPr>
                <w:noProof/>
                <w:webHidden/>
              </w:rPr>
            </w:r>
            <w:r>
              <w:rPr>
                <w:noProof/>
                <w:webHidden/>
              </w:rPr>
              <w:fldChar w:fldCharType="separate"/>
            </w:r>
            <w:r>
              <w:rPr>
                <w:noProof/>
                <w:webHidden/>
              </w:rPr>
              <w:t>7</w:t>
            </w:r>
            <w:r>
              <w:rPr>
                <w:noProof/>
                <w:webHidden/>
              </w:rPr>
              <w:fldChar w:fldCharType="end"/>
            </w:r>
          </w:hyperlink>
        </w:p>
        <w:p w14:paraId="23C2DB18" w14:textId="7F70930F" w:rsidR="007F32AD" w:rsidRDefault="007F32AD">
          <w:pPr>
            <w:pStyle w:val="TOC2"/>
            <w:tabs>
              <w:tab w:val="right" w:leader="dot" w:pos="10070"/>
            </w:tabs>
            <w:rPr>
              <w:rFonts w:eastAsiaTheme="minorEastAsia"/>
              <w:noProof/>
              <w:kern w:val="2"/>
              <w:szCs w:val="24"/>
              <w:lang w:val="en-US"/>
              <w14:ligatures w14:val="standardContextual"/>
            </w:rPr>
          </w:pPr>
          <w:hyperlink w:anchor="_Toc219273879" w:history="1">
            <w:r w:rsidRPr="00971C4A">
              <w:rPr>
                <w:rStyle w:val="Hyperlink"/>
                <w:noProof/>
              </w:rPr>
              <w:t>Canada</w:t>
            </w:r>
            <w:r>
              <w:rPr>
                <w:noProof/>
                <w:webHidden/>
              </w:rPr>
              <w:tab/>
            </w:r>
            <w:r>
              <w:rPr>
                <w:noProof/>
                <w:webHidden/>
              </w:rPr>
              <w:fldChar w:fldCharType="begin"/>
            </w:r>
            <w:r>
              <w:rPr>
                <w:noProof/>
                <w:webHidden/>
              </w:rPr>
              <w:instrText xml:space="preserve"> PAGEREF _Toc219273879 \h </w:instrText>
            </w:r>
            <w:r>
              <w:rPr>
                <w:noProof/>
                <w:webHidden/>
              </w:rPr>
            </w:r>
            <w:r>
              <w:rPr>
                <w:noProof/>
                <w:webHidden/>
              </w:rPr>
              <w:fldChar w:fldCharType="separate"/>
            </w:r>
            <w:r>
              <w:rPr>
                <w:noProof/>
                <w:webHidden/>
              </w:rPr>
              <w:t>7</w:t>
            </w:r>
            <w:r>
              <w:rPr>
                <w:noProof/>
                <w:webHidden/>
              </w:rPr>
              <w:fldChar w:fldCharType="end"/>
            </w:r>
          </w:hyperlink>
        </w:p>
        <w:p w14:paraId="055BFECA" w14:textId="0A6D3802" w:rsidR="007F32AD" w:rsidRDefault="007F32AD">
          <w:pPr>
            <w:pStyle w:val="TOC2"/>
            <w:tabs>
              <w:tab w:val="right" w:leader="dot" w:pos="10070"/>
            </w:tabs>
            <w:rPr>
              <w:rFonts w:eastAsiaTheme="minorEastAsia"/>
              <w:noProof/>
              <w:kern w:val="2"/>
              <w:szCs w:val="24"/>
              <w:lang w:val="en-US"/>
              <w14:ligatures w14:val="standardContextual"/>
            </w:rPr>
          </w:pPr>
          <w:hyperlink w:anchor="_Toc219273880" w:history="1">
            <w:r w:rsidRPr="00971C4A">
              <w:rPr>
                <w:rStyle w:val="Hyperlink"/>
                <w:noProof/>
              </w:rPr>
              <w:t>Prince Edward Island</w:t>
            </w:r>
            <w:r>
              <w:rPr>
                <w:noProof/>
                <w:webHidden/>
              </w:rPr>
              <w:tab/>
            </w:r>
            <w:r>
              <w:rPr>
                <w:noProof/>
                <w:webHidden/>
              </w:rPr>
              <w:fldChar w:fldCharType="begin"/>
            </w:r>
            <w:r>
              <w:rPr>
                <w:noProof/>
                <w:webHidden/>
              </w:rPr>
              <w:instrText xml:space="preserve"> PAGEREF _Toc219273880 \h </w:instrText>
            </w:r>
            <w:r>
              <w:rPr>
                <w:noProof/>
                <w:webHidden/>
              </w:rPr>
            </w:r>
            <w:r>
              <w:rPr>
                <w:noProof/>
                <w:webHidden/>
              </w:rPr>
              <w:fldChar w:fldCharType="separate"/>
            </w:r>
            <w:r>
              <w:rPr>
                <w:noProof/>
                <w:webHidden/>
              </w:rPr>
              <w:t>8</w:t>
            </w:r>
            <w:r>
              <w:rPr>
                <w:noProof/>
                <w:webHidden/>
              </w:rPr>
              <w:fldChar w:fldCharType="end"/>
            </w:r>
          </w:hyperlink>
        </w:p>
        <w:p w14:paraId="354A4168" w14:textId="75A1C32C" w:rsidR="007F32AD" w:rsidRDefault="007F32AD">
          <w:pPr>
            <w:pStyle w:val="TOC1"/>
            <w:tabs>
              <w:tab w:val="right" w:leader="dot" w:pos="10070"/>
            </w:tabs>
            <w:rPr>
              <w:rFonts w:eastAsiaTheme="minorEastAsia"/>
              <w:noProof/>
              <w:kern w:val="2"/>
              <w:szCs w:val="24"/>
              <w:lang w:val="en-US"/>
              <w14:ligatures w14:val="standardContextual"/>
            </w:rPr>
          </w:pPr>
          <w:hyperlink w:anchor="_Toc219273881" w:history="1">
            <w:r w:rsidRPr="00971C4A">
              <w:rPr>
                <w:rStyle w:val="Hyperlink"/>
                <w:noProof/>
              </w:rPr>
              <w:t>Control</w:t>
            </w:r>
            <w:r>
              <w:rPr>
                <w:noProof/>
                <w:webHidden/>
              </w:rPr>
              <w:tab/>
            </w:r>
            <w:r>
              <w:rPr>
                <w:noProof/>
                <w:webHidden/>
              </w:rPr>
              <w:fldChar w:fldCharType="begin"/>
            </w:r>
            <w:r>
              <w:rPr>
                <w:noProof/>
                <w:webHidden/>
              </w:rPr>
              <w:instrText xml:space="preserve"> PAGEREF _Toc219273881 \h </w:instrText>
            </w:r>
            <w:r>
              <w:rPr>
                <w:noProof/>
                <w:webHidden/>
              </w:rPr>
            </w:r>
            <w:r>
              <w:rPr>
                <w:noProof/>
                <w:webHidden/>
              </w:rPr>
              <w:fldChar w:fldCharType="separate"/>
            </w:r>
            <w:r>
              <w:rPr>
                <w:noProof/>
                <w:webHidden/>
              </w:rPr>
              <w:t>8</w:t>
            </w:r>
            <w:r>
              <w:rPr>
                <w:noProof/>
                <w:webHidden/>
              </w:rPr>
              <w:fldChar w:fldCharType="end"/>
            </w:r>
          </w:hyperlink>
        </w:p>
        <w:p w14:paraId="7CBC0B31" w14:textId="20762DB5" w:rsidR="007F32AD" w:rsidRDefault="007F32AD">
          <w:pPr>
            <w:pStyle w:val="TOC2"/>
            <w:tabs>
              <w:tab w:val="right" w:leader="dot" w:pos="10070"/>
            </w:tabs>
            <w:rPr>
              <w:rFonts w:eastAsiaTheme="minorEastAsia"/>
              <w:noProof/>
              <w:kern w:val="2"/>
              <w:szCs w:val="24"/>
              <w:lang w:val="en-US"/>
              <w14:ligatures w14:val="standardContextual"/>
            </w:rPr>
          </w:pPr>
          <w:hyperlink w:anchor="_Toc219273882" w:history="1">
            <w:r w:rsidRPr="00971C4A">
              <w:rPr>
                <w:rStyle w:val="Hyperlink"/>
                <w:noProof/>
              </w:rPr>
              <w:t>Management of a case</w:t>
            </w:r>
            <w:r>
              <w:rPr>
                <w:noProof/>
                <w:webHidden/>
              </w:rPr>
              <w:tab/>
            </w:r>
            <w:r>
              <w:rPr>
                <w:noProof/>
                <w:webHidden/>
              </w:rPr>
              <w:fldChar w:fldCharType="begin"/>
            </w:r>
            <w:r>
              <w:rPr>
                <w:noProof/>
                <w:webHidden/>
              </w:rPr>
              <w:instrText xml:space="preserve"> PAGEREF _Toc219273882 \h </w:instrText>
            </w:r>
            <w:r>
              <w:rPr>
                <w:noProof/>
                <w:webHidden/>
              </w:rPr>
            </w:r>
            <w:r>
              <w:rPr>
                <w:noProof/>
                <w:webHidden/>
              </w:rPr>
              <w:fldChar w:fldCharType="separate"/>
            </w:r>
            <w:r>
              <w:rPr>
                <w:noProof/>
                <w:webHidden/>
              </w:rPr>
              <w:t>8</w:t>
            </w:r>
            <w:r>
              <w:rPr>
                <w:noProof/>
                <w:webHidden/>
              </w:rPr>
              <w:fldChar w:fldCharType="end"/>
            </w:r>
          </w:hyperlink>
        </w:p>
        <w:p w14:paraId="550663E4" w14:textId="30EA44B8" w:rsidR="007F32AD" w:rsidRDefault="007F32AD">
          <w:pPr>
            <w:pStyle w:val="TOC1"/>
            <w:tabs>
              <w:tab w:val="right" w:leader="dot" w:pos="10070"/>
            </w:tabs>
            <w:rPr>
              <w:rFonts w:eastAsiaTheme="minorEastAsia"/>
              <w:noProof/>
              <w:kern w:val="2"/>
              <w:szCs w:val="24"/>
              <w:lang w:val="en-US"/>
              <w14:ligatures w14:val="standardContextual"/>
            </w:rPr>
          </w:pPr>
          <w:hyperlink w:anchor="_Toc219273883" w:history="1">
            <w:r w:rsidRPr="00971C4A">
              <w:rPr>
                <w:rStyle w:val="Hyperlink"/>
                <w:noProof/>
              </w:rPr>
              <w:t>Treatment</w:t>
            </w:r>
            <w:r>
              <w:rPr>
                <w:noProof/>
                <w:webHidden/>
              </w:rPr>
              <w:tab/>
            </w:r>
            <w:r>
              <w:rPr>
                <w:noProof/>
                <w:webHidden/>
              </w:rPr>
              <w:fldChar w:fldCharType="begin"/>
            </w:r>
            <w:r>
              <w:rPr>
                <w:noProof/>
                <w:webHidden/>
              </w:rPr>
              <w:instrText xml:space="preserve"> PAGEREF _Toc219273883 \h </w:instrText>
            </w:r>
            <w:r>
              <w:rPr>
                <w:noProof/>
                <w:webHidden/>
              </w:rPr>
            </w:r>
            <w:r>
              <w:rPr>
                <w:noProof/>
                <w:webHidden/>
              </w:rPr>
              <w:fldChar w:fldCharType="separate"/>
            </w:r>
            <w:r>
              <w:rPr>
                <w:noProof/>
                <w:webHidden/>
              </w:rPr>
              <w:t>10</w:t>
            </w:r>
            <w:r>
              <w:rPr>
                <w:noProof/>
                <w:webHidden/>
              </w:rPr>
              <w:fldChar w:fldCharType="end"/>
            </w:r>
          </w:hyperlink>
        </w:p>
        <w:p w14:paraId="7132FCDD" w14:textId="0F19013C" w:rsidR="007F32AD" w:rsidRDefault="007F32AD">
          <w:pPr>
            <w:pStyle w:val="TOC3"/>
            <w:tabs>
              <w:tab w:val="right" w:leader="dot" w:pos="10070"/>
            </w:tabs>
            <w:rPr>
              <w:rFonts w:eastAsiaTheme="minorEastAsia"/>
              <w:noProof/>
              <w:kern w:val="2"/>
              <w:szCs w:val="24"/>
              <w:lang w:val="en-US"/>
              <w14:ligatures w14:val="standardContextual"/>
            </w:rPr>
          </w:pPr>
          <w:hyperlink w:anchor="_Toc219273884" w:history="1">
            <w:r w:rsidRPr="00971C4A">
              <w:rPr>
                <w:rStyle w:val="Hyperlink"/>
                <w:noProof/>
              </w:rPr>
              <w:t>Non-pregnant and non-lactating adults</w:t>
            </w:r>
            <w:r>
              <w:rPr>
                <w:noProof/>
                <w:webHidden/>
              </w:rPr>
              <w:tab/>
            </w:r>
            <w:r>
              <w:rPr>
                <w:noProof/>
                <w:webHidden/>
              </w:rPr>
              <w:fldChar w:fldCharType="begin"/>
            </w:r>
            <w:r>
              <w:rPr>
                <w:noProof/>
                <w:webHidden/>
              </w:rPr>
              <w:instrText xml:space="preserve"> PAGEREF _Toc219273884 \h </w:instrText>
            </w:r>
            <w:r>
              <w:rPr>
                <w:noProof/>
                <w:webHidden/>
              </w:rPr>
            </w:r>
            <w:r>
              <w:rPr>
                <w:noProof/>
                <w:webHidden/>
              </w:rPr>
              <w:fldChar w:fldCharType="separate"/>
            </w:r>
            <w:r>
              <w:rPr>
                <w:noProof/>
                <w:webHidden/>
              </w:rPr>
              <w:t>10</w:t>
            </w:r>
            <w:r>
              <w:rPr>
                <w:noProof/>
                <w:webHidden/>
              </w:rPr>
              <w:fldChar w:fldCharType="end"/>
            </w:r>
          </w:hyperlink>
        </w:p>
        <w:p w14:paraId="4C1B9EB9" w14:textId="3B0D548C" w:rsidR="007F32AD" w:rsidRDefault="007F32AD">
          <w:pPr>
            <w:pStyle w:val="TOC3"/>
            <w:tabs>
              <w:tab w:val="right" w:leader="dot" w:pos="10070"/>
            </w:tabs>
            <w:rPr>
              <w:rFonts w:eastAsiaTheme="minorEastAsia"/>
              <w:noProof/>
              <w:kern w:val="2"/>
              <w:szCs w:val="24"/>
              <w:lang w:val="en-US"/>
              <w14:ligatures w14:val="standardContextual"/>
            </w:rPr>
          </w:pPr>
          <w:hyperlink w:anchor="_Toc219273885" w:history="1">
            <w:r w:rsidRPr="00971C4A">
              <w:rPr>
                <w:rStyle w:val="Hyperlink"/>
                <w:noProof/>
              </w:rPr>
              <w:t>Pregnant and lactating people</w:t>
            </w:r>
            <w:r>
              <w:rPr>
                <w:noProof/>
                <w:webHidden/>
              </w:rPr>
              <w:tab/>
            </w:r>
            <w:r>
              <w:rPr>
                <w:noProof/>
                <w:webHidden/>
              </w:rPr>
              <w:fldChar w:fldCharType="begin"/>
            </w:r>
            <w:r>
              <w:rPr>
                <w:noProof/>
                <w:webHidden/>
              </w:rPr>
              <w:instrText xml:space="preserve"> PAGEREF _Toc219273885 \h </w:instrText>
            </w:r>
            <w:r>
              <w:rPr>
                <w:noProof/>
                <w:webHidden/>
              </w:rPr>
            </w:r>
            <w:r>
              <w:rPr>
                <w:noProof/>
                <w:webHidden/>
              </w:rPr>
              <w:fldChar w:fldCharType="separate"/>
            </w:r>
            <w:r>
              <w:rPr>
                <w:noProof/>
                <w:webHidden/>
              </w:rPr>
              <w:t>10</w:t>
            </w:r>
            <w:r>
              <w:rPr>
                <w:noProof/>
                <w:webHidden/>
              </w:rPr>
              <w:fldChar w:fldCharType="end"/>
            </w:r>
          </w:hyperlink>
        </w:p>
        <w:p w14:paraId="5AA50389" w14:textId="5DC34CEC" w:rsidR="007F32AD" w:rsidRDefault="007F32AD">
          <w:pPr>
            <w:pStyle w:val="TOC3"/>
            <w:tabs>
              <w:tab w:val="right" w:leader="dot" w:pos="10070"/>
            </w:tabs>
            <w:rPr>
              <w:rFonts w:eastAsiaTheme="minorEastAsia"/>
              <w:noProof/>
              <w:kern w:val="2"/>
              <w:szCs w:val="24"/>
              <w:lang w:val="en-US"/>
              <w14:ligatures w14:val="standardContextual"/>
            </w:rPr>
          </w:pPr>
          <w:hyperlink w:anchor="_Toc219273886" w:history="1">
            <w:r w:rsidRPr="00971C4A">
              <w:rPr>
                <w:rStyle w:val="Hyperlink"/>
                <w:noProof/>
              </w:rPr>
              <w:t>Nine (9) to 18 years of age</w:t>
            </w:r>
            <w:r>
              <w:rPr>
                <w:noProof/>
                <w:webHidden/>
              </w:rPr>
              <w:tab/>
            </w:r>
            <w:r>
              <w:rPr>
                <w:noProof/>
                <w:webHidden/>
              </w:rPr>
              <w:fldChar w:fldCharType="begin"/>
            </w:r>
            <w:r>
              <w:rPr>
                <w:noProof/>
                <w:webHidden/>
              </w:rPr>
              <w:instrText xml:space="preserve"> PAGEREF _Toc219273886 \h </w:instrText>
            </w:r>
            <w:r>
              <w:rPr>
                <w:noProof/>
                <w:webHidden/>
              </w:rPr>
            </w:r>
            <w:r>
              <w:rPr>
                <w:noProof/>
                <w:webHidden/>
              </w:rPr>
              <w:fldChar w:fldCharType="separate"/>
            </w:r>
            <w:r>
              <w:rPr>
                <w:noProof/>
                <w:webHidden/>
              </w:rPr>
              <w:t>11</w:t>
            </w:r>
            <w:r>
              <w:rPr>
                <w:noProof/>
                <w:webHidden/>
              </w:rPr>
              <w:fldChar w:fldCharType="end"/>
            </w:r>
          </w:hyperlink>
        </w:p>
        <w:p w14:paraId="078580EE" w14:textId="249707D6" w:rsidR="007F32AD" w:rsidRDefault="007F32AD">
          <w:pPr>
            <w:pStyle w:val="TOC1"/>
            <w:tabs>
              <w:tab w:val="right" w:leader="dot" w:pos="10070"/>
            </w:tabs>
            <w:rPr>
              <w:rFonts w:eastAsiaTheme="minorEastAsia"/>
              <w:noProof/>
              <w:kern w:val="2"/>
              <w:szCs w:val="24"/>
              <w:lang w:val="en-US"/>
              <w14:ligatures w14:val="standardContextual"/>
            </w:rPr>
          </w:pPr>
          <w:hyperlink w:anchor="_Toc219273887" w:history="1">
            <w:r w:rsidRPr="00971C4A">
              <w:rPr>
                <w:rStyle w:val="Hyperlink"/>
                <w:noProof/>
              </w:rPr>
              <w:t>Management of contacts</w:t>
            </w:r>
            <w:r>
              <w:rPr>
                <w:noProof/>
                <w:webHidden/>
              </w:rPr>
              <w:tab/>
            </w:r>
            <w:r>
              <w:rPr>
                <w:noProof/>
                <w:webHidden/>
              </w:rPr>
              <w:fldChar w:fldCharType="begin"/>
            </w:r>
            <w:r>
              <w:rPr>
                <w:noProof/>
                <w:webHidden/>
              </w:rPr>
              <w:instrText xml:space="preserve"> PAGEREF _Toc219273887 \h </w:instrText>
            </w:r>
            <w:r>
              <w:rPr>
                <w:noProof/>
                <w:webHidden/>
              </w:rPr>
            </w:r>
            <w:r>
              <w:rPr>
                <w:noProof/>
                <w:webHidden/>
              </w:rPr>
              <w:fldChar w:fldCharType="separate"/>
            </w:r>
            <w:r>
              <w:rPr>
                <w:noProof/>
                <w:webHidden/>
              </w:rPr>
              <w:t>11</w:t>
            </w:r>
            <w:r>
              <w:rPr>
                <w:noProof/>
                <w:webHidden/>
              </w:rPr>
              <w:fldChar w:fldCharType="end"/>
            </w:r>
          </w:hyperlink>
        </w:p>
        <w:p w14:paraId="27AFDBFE" w14:textId="15D4694F" w:rsidR="007F32AD" w:rsidRDefault="007F32AD">
          <w:pPr>
            <w:pStyle w:val="TOC1"/>
            <w:tabs>
              <w:tab w:val="right" w:leader="dot" w:pos="10070"/>
            </w:tabs>
            <w:rPr>
              <w:rFonts w:eastAsiaTheme="minorEastAsia"/>
              <w:noProof/>
              <w:kern w:val="2"/>
              <w:szCs w:val="24"/>
              <w:lang w:val="en-US"/>
              <w14:ligatures w14:val="standardContextual"/>
            </w:rPr>
          </w:pPr>
          <w:hyperlink w:anchor="_Toc219273888" w:history="1">
            <w:r w:rsidRPr="00971C4A">
              <w:rPr>
                <w:rStyle w:val="Hyperlink"/>
                <w:noProof/>
              </w:rPr>
              <w:t>Preventative measures</w:t>
            </w:r>
            <w:r>
              <w:rPr>
                <w:noProof/>
                <w:webHidden/>
              </w:rPr>
              <w:tab/>
            </w:r>
            <w:r>
              <w:rPr>
                <w:noProof/>
                <w:webHidden/>
              </w:rPr>
              <w:fldChar w:fldCharType="begin"/>
            </w:r>
            <w:r>
              <w:rPr>
                <w:noProof/>
                <w:webHidden/>
              </w:rPr>
              <w:instrText xml:space="preserve"> PAGEREF _Toc219273888 \h </w:instrText>
            </w:r>
            <w:r>
              <w:rPr>
                <w:noProof/>
                <w:webHidden/>
              </w:rPr>
            </w:r>
            <w:r>
              <w:rPr>
                <w:noProof/>
                <w:webHidden/>
              </w:rPr>
              <w:fldChar w:fldCharType="separate"/>
            </w:r>
            <w:r>
              <w:rPr>
                <w:noProof/>
                <w:webHidden/>
              </w:rPr>
              <w:t>12</w:t>
            </w:r>
            <w:r>
              <w:rPr>
                <w:noProof/>
                <w:webHidden/>
              </w:rPr>
              <w:fldChar w:fldCharType="end"/>
            </w:r>
          </w:hyperlink>
        </w:p>
        <w:p w14:paraId="20975539" w14:textId="649419B5" w:rsidR="007F32AD" w:rsidRDefault="007F32AD">
          <w:pPr>
            <w:pStyle w:val="TOC1"/>
            <w:tabs>
              <w:tab w:val="right" w:leader="dot" w:pos="10070"/>
            </w:tabs>
            <w:rPr>
              <w:rFonts w:eastAsiaTheme="minorEastAsia"/>
              <w:noProof/>
              <w:kern w:val="2"/>
              <w:szCs w:val="24"/>
              <w:lang w:val="en-US"/>
              <w14:ligatures w14:val="standardContextual"/>
            </w:rPr>
          </w:pPr>
          <w:hyperlink w:anchor="_Toc219273889" w:history="1">
            <w:r w:rsidRPr="00971C4A">
              <w:rPr>
                <w:rStyle w:val="Hyperlink"/>
                <w:noProof/>
              </w:rPr>
              <w:t>Doxy PEP</w:t>
            </w:r>
            <w:r>
              <w:rPr>
                <w:noProof/>
                <w:webHidden/>
              </w:rPr>
              <w:tab/>
            </w:r>
            <w:r>
              <w:rPr>
                <w:noProof/>
                <w:webHidden/>
              </w:rPr>
              <w:fldChar w:fldCharType="begin"/>
            </w:r>
            <w:r>
              <w:rPr>
                <w:noProof/>
                <w:webHidden/>
              </w:rPr>
              <w:instrText xml:space="preserve"> PAGEREF _Toc219273889 \h </w:instrText>
            </w:r>
            <w:r>
              <w:rPr>
                <w:noProof/>
                <w:webHidden/>
              </w:rPr>
            </w:r>
            <w:r>
              <w:rPr>
                <w:noProof/>
                <w:webHidden/>
              </w:rPr>
              <w:fldChar w:fldCharType="separate"/>
            </w:r>
            <w:r>
              <w:rPr>
                <w:noProof/>
                <w:webHidden/>
              </w:rPr>
              <w:t>13</w:t>
            </w:r>
            <w:r>
              <w:rPr>
                <w:noProof/>
                <w:webHidden/>
              </w:rPr>
              <w:fldChar w:fldCharType="end"/>
            </w:r>
          </w:hyperlink>
        </w:p>
        <w:p w14:paraId="68AD3D27" w14:textId="5ED15E14" w:rsidR="007F32AD" w:rsidRDefault="007F32AD">
          <w:pPr>
            <w:pStyle w:val="TOC1"/>
            <w:tabs>
              <w:tab w:val="right" w:leader="dot" w:pos="10070"/>
            </w:tabs>
            <w:rPr>
              <w:rFonts w:eastAsiaTheme="minorEastAsia"/>
              <w:noProof/>
              <w:kern w:val="2"/>
              <w:szCs w:val="24"/>
              <w:lang w:val="en-US"/>
              <w14:ligatures w14:val="standardContextual"/>
            </w:rPr>
          </w:pPr>
          <w:hyperlink w:anchor="_Toc219273890" w:history="1">
            <w:r w:rsidRPr="00971C4A">
              <w:rPr>
                <w:rStyle w:val="Hyperlink"/>
                <w:noProof/>
              </w:rPr>
              <w:t>Screening</w:t>
            </w:r>
            <w:r>
              <w:rPr>
                <w:noProof/>
                <w:webHidden/>
              </w:rPr>
              <w:tab/>
            </w:r>
            <w:r>
              <w:rPr>
                <w:noProof/>
                <w:webHidden/>
              </w:rPr>
              <w:fldChar w:fldCharType="begin"/>
            </w:r>
            <w:r>
              <w:rPr>
                <w:noProof/>
                <w:webHidden/>
              </w:rPr>
              <w:instrText xml:space="preserve"> PAGEREF _Toc219273890 \h </w:instrText>
            </w:r>
            <w:r>
              <w:rPr>
                <w:noProof/>
                <w:webHidden/>
              </w:rPr>
            </w:r>
            <w:r>
              <w:rPr>
                <w:noProof/>
                <w:webHidden/>
              </w:rPr>
              <w:fldChar w:fldCharType="separate"/>
            </w:r>
            <w:r>
              <w:rPr>
                <w:noProof/>
                <w:webHidden/>
              </w:rPr>
              <w:t>13</w:t>
            </w:r>
            <w:r>
              <w:rPr>
                <w:noProof/>
                <w:webHidden/>
              </w:rPr>
              <w:fldChar w:fldCharType="end"/>
            </w:r>
          </w:hyperlink>
        </w:p>
        <w:p w14:paraId="590FEC04" w14:textId="70F3FEED" w:rsidR="007F32AD" w:rsidRDefault="007F32AD">
          <w:pPr>
            <w:pStyle w:val="TOC1"/>
            <w:tabs>
              <w:tab w:val="right" w:leader="dot" w:pos="10070"/>
            </w:tabs>
            <w:rPr>
              <w:rFonts w:eastAsiaTheme="minorEastAsia"/>
              <w:noProof/>
              <w:kern w:val="2"/>
              <w:szCs w:val="24"/>
              <w:lang w:val="en-US"/>
              <w14:ligatures w14:val="standardContextual"/>
            </w:rPr>
          </w:pPr>
          <w:hyperlink w:anchor="_Toc219273891" w:history="1">
            <w:r w:rsidRPr="00971C4A">
              <w:rPr>
                <w:rStyle w:val="Hyperlink"/>
                <w:noProof/>
              </w:rPr>
              <w:t>Re-Screening</w:t>
            </w:r>
            <w:r>
              <w:rPr>
                <w:noProof/>
                <w:webHidden/>
              </w:rPr>
              <w:tab/>
            </w:r>
            <w:r>
              <w:rPr>
                <w:noProof/>
                <w:webHidden/>
              </w:rPr>
              <w:fldChar w:fldCharType="begin"/>
            </w:r>
            <w:r>
              <w:rPr>
                <w:noProof/>
                <w:webHidden/>
              </w:rPr>
              <w:instrText xml:space="preserve"> PAGEREF _Toc219273891 \h </w:instrText>
            </w:r>
            <w:r>
              <w:rPr>
                <w:noProof/>
                <w:webHidden/>
              </w:rPr>
            </w:r>
            <w:r>
              <w:rPr>
                <w:noProof/>
                <w:webHidden/>
              </w:rPr>
              <w:fldChar w:fldCharType="separate"/>
            </w:r>
            <w:r>
              <w:rPr>
                <w:noProof/>
                <w:webHidden/>
              </w:rPr>
              <w:t>13</w:t>
            </w:r>
            <w:r>
              <w:rPr>
                <w:noProof/>
                <w:webHidden/>
              </w:rPr>
              <w:fldChar w:fldCharType="end"/>
            </w:r>
          </w:hyperlink>
        </w:p>
        <w:p w14:paraId="52DE300A" w14:textId="01AE11A4" w:rsidR="007F32AD" w:rsidRDefault="007F32AD">
          <w:pPr>
            <w:pStyle w:val="TOC1"/>
            <w:tabs>
              <w:tab w:val="right" w:leader="dot" w:pos="10070"/>
            </w:tabs>
            <w:rPr>
              <w:rFonts w:eastAsiaTheme="minorEastAsia"/>
              <w:noProof/>
              <w:kern w:val="2"/>
              <w:szCs w:val="24"/>
              <w:lang w:val="en-US"/>
              <w14:ligatures w14:val="standardContextual"/>
            </w:rPr>
          </w:pPr>
          <w:hyperlink w:anchor="_Toc219273892" w:history="1">
            <w:r w:rsidRPr="00971C4A">
              <w:rPr>
                <w:rStyle w:val="Hyperlink"/>
                <w:noProof/>
              </w:rPr>
              <w:t>References</w:t>
            </w:r>
            <w:r>
              <w:rPr>
                <w:noProof/>
                <w:webHidden/>
              </w:rPr>
              <w:tab/>
            </w:r>
            <w:r>
              <w:rPr>
                <w:noProof/>
                <w:webHidden/>
              </w:rPr>
              <w:fldChar w:fldCharType="begin"/>
            </w:r>
            <w:r>
              <w:rPr>
                <w:noProof/>
                <w:webHidden/>
              </w:rPr>
              <w:instrText xml:space="preserve"> PAGEREF _Toc219273892 \h </w:instrText>
            </w:r>
            <w:r>
              <w:rPr>
                <w:noProof/>
                <w:webHidden/>
              </w:rPr>
            </w:r>
            <w:r>
              <w:rPr>
                <w:noProof/>
                <w:webHidden/>
              </w:rPr>
              <w:fldChar w:fldCharType="separate"/>
            </w:r>
            <w:r>
              <w:rPr>
                <w:noProof/>
                <w:webHidden/>
              </w:rPr>
              <w:t>14</w:t>
            </w:r>
            <w:r>
              <w:rPr>
                <w:noProof/>
                <w:webHidden/>
              </w:rPr>
              <w:fldChar w:fldCharType="end"/>
            </w:r>
          </w:hyperlink>
        </w:p>
        <w:p w14:paraId="30E5E0A0" w14:textId="01B581C6" w:rsidR="007F32AD" w:rsidRDefault="007F32AD">
          <w:pPr>
            <w:pStyle w:val="TOC1"/>
            <w:tabs>
              <w:tab w:val="right" w:leader="dot" w:pos="10070"/>
            </w:tabs>
            <w:rPr>
              <w:rFonts w:eastAsiaTheme="minorEastAsia"/>
              <w:noProof/>
              <w:kern w:val="2"/>
              <w:szCs w:val="24"/>
              <w:lang w:val="en-US"/>
              <w14:ligatures w14:val="standardContextual"/>
            </w:rPr>
          </w:pPr>
          <w:hyperlink w:anchor="_Toc219273893" w:history="1">
            <w:r w:rsidRPr="00971C4A">
              <w:rPr>
                <w:rStyle w:val="Hyperlink"/>
                <w:noProof/>
              </w:rPr>
              <w:t>Appendix A</w:t>
            </w:r>
            <w:r>
              <w:rPr>
                <w:noProof/>
                <w:webHidden/>
              </w:rPr>
              <w:tab/>
            </w:r>
            <w:r>
              <w:rPr>
                <w:noProof/>
                <w:webHidden/>
              </w:rPr>
              <w:fldChar w:fldCharType="begin"/>
            </w:r>
            <w:r>
              <w:rPr>
                <w:noProof/>
                <w:webHidden/>
              </w:rPr>
              <w:instrText xml:space="preserve"> PAGEREF _Toc219273893 \h </w:instrText>
            </w:r>
            <w:r>
              <w:rPr>
                <w:noProof/>
                <w:webHidden/>
              </w:rPr>
            </w:r>
            <w:r>
              <w:rPr>
                <w:noProof/>
                <w:webHidden/>
              </w:rPr>
              <w:fldChar w:fldCharType="separate"/>
            </w:r>
            <w:r>
              <w:rPr>
                <w:noProof/>
                <w:webHidden/>
              </w:rPr>
              <w:t>15</w:t>
            </w:r>
            <w:r>
              <w:rPr>
                <w:noProof/>
                <w:webHidden/>
              </w:rPr>
              <w:fldChar w:fldCharType="end"/>
            </w:r>
          </w:hyperlink>
        </w:p>
        <w:p w14:paraId="7DE730AA" w14:textId="5C87DA5D" w:rsidR="007F32AD" w:rsidRDefault="007F32AD">
          <w:pPr>
            <w:pStyle w:val="TOC2"/>
            <w:tabs>
              <w:tab w:val="right" w:leader="dot" w:pos="10070"/>
            </w:tabs>
            <w:rPr>
              <w:rFonts w:eastAsiaTheme="minorEastAsia"/>
              <w:noProof/>
              <w:kern w:val="2"/>
              <w:szCs w:val="24"/>
              <w:lang w:val="en-US"/>
              <w14:ligatures w14:val="standardContextual"/>
            </w:rPr>
          </w:pPr>
          <w:hyperlink w:anchor="_Toc219273894" w:history="1">
            <w:r w:rsidRPr="00971C4A">
              <w:rPr>
                <w:rStyle w:val="Hyperlink"/>
                <w:noProof/>
                <w:lang w:val="en-US"/>
              </w:rPr>
              <w:t>Collection and Order for Chlamydia Trachomatis, Neisseria Gonorrhea &amp; Trichomonas Vaginalis</w:t>
            </w:r>
            <w:r>
              <w:rPr>
                <w:noProof/>
                <w:webHidden/>
              </w:rPr>
              <w:tab/>
            </w:r>
            <w:r>
              <w:rPr>
                <w:noProof/>
                <w:webHidden/>
              </w:rPr>
              <w:fldChar w:fldCharType="begin"/>
            </w:r>
            <w:r>
              <w:rPr>
                <w:noProof/>
                <w:webHidden/>
              </w:rPr>
              <w:instrText xml:space="preserve"> PAGEREF _Toc219273894 \h </w:instrText>
            </w:r>
            <w:r>
              <w:rPr>
                <w:noProof/>
                <w:webHidden/>
              </w:rPr>
            </w:r>
            <w:r>
              <w:rPr>
                <w:noProof/>
                <w:webHidden/>
              </w:rPr>
              <w:fldChar w:fldCharType="separate"/>
            </w:r>
            <w:r>
              <w:rPr>
                <w:noProof/>
                <w:webHidden/>
              </w:rPr>
              <w:t>15</w:t>
            </w:r>
            <w:r>
              <w:rPr>
                <w:noProof/>
                <w:webHidden/>
              </w:rPr>
              <w:fldChar w:fldCharType="end"/>
            </w:r>
          </w:hyperlink>
        </w:p>
        <w:p w14:paraId="2942E218" w14:textId="0A9EE945" w:rsidR="007F32AD" w:rsidRDefault="007F32AD">
          <w:pPr>
            <w:pStyle w:val="TOC1"/>
            <w:tabs>
              <w:tab w:val="right" w:leader="dot" w:pos="10070"/>
            </w:tabs>
            <w:rPr>
              <w:rFonts w:eastAsiaTheme="minorEastAsia"/>
              <w:noProof/>
              <w:kern w:val="2"/>
              <w:szCs w:val="24"/>
              <w:lang w:val="en-US"/>
              <w14:ligatures w14:val="standardContextual"/>
            </w:rPr>
          </w:pPr>
          <w:hyperlink w:anchor="_Toc219273895" w:history="1">
            <w:r w:rsidRPr="00971C4A">
              <w:rPr>
                <w:rStyle w:val="Hyperlink"/>
                <w:noProof/>
              </w:rPr>
              <w:t>Appendix B</w:t>
            </w:r>
            <w:r>
              <w:rPr>
                <w:noProof/>
                <w:webHidden/>
              </w:rPr>
              <w:tab/>
            </w:r>
            <w:r>
              <w:rPr>
                <w:noProof/>
                <w:webHidden/>
              </w:rPr>
              <w:fldChar w:fldCharType="begin"/>
            </w:r>
            <w:r>
              <w:rPr>
                <w:noProof/>
                <w:webHidden/>
              </w:rPr>
              <w:instrText xml:space="preserve"> PAGEREF _Toc219273895 \h </w:instrText>
            </w:r>
            <w:r>
              <w:rPr>
                <w:noProof/>
                <w:webHidden/>
              </w:rPr>
            </w:r>
            <w:r>
              <w:rPr>
                <w:noProof/>
                <w:webHidden/>
              </w:rPr>
              <w:fldChar w:fldCharType="separate"/>
            </w:r>
            <w:r>
              <w:rPr>
                <w:noProof/>
                <w:webHidden/>
              </w:rPr>
              <w:t>20</w:t>
            </w:r>
            <w:r>
              <w:rPr>
                <w:noProof/>
                <w:webHidden/>
              </w:rPr>
              <w:fldChar w:fldCharType="end"/>
            </w:r>
          </w:hyperlink>
        </w:p>
        <w:p w14:paraId="05E881C6" w14:textId="5CE32362" w:rsidR="007F32AD" w:rsidRDefault="007F32AD">
          <w:pPr>
            <w:pStyle w:val="TOC2"/>
            <w:tabs>
              <w:tab w:val="right" w:leader="dot" w:pos="10070"/>
            </w:tabs>
            <w:rPr>
              <w:rFonts w:eastAsiaTheme="minorEastAsia"/>
              <w:noProof/>
              <w:kern w:val="2"/>
              <w:szCs w:val="24"/>
              <w:lang w:val="en-US"/>
              <w14:ligatures w14:val="standardContextual"/>
            </w:rPr>
          </w:pPr>
          <w:hyperlink w:anchor="_Toc219273896" w:history="1">
            <w:r w:rsidRPr="00971C4A">
              <w:rPr>
                <w:rStyle w:val="Hyperlink"/>
                <w:noProof/>
              </w:rPr>
              <w:t>Chlamydia Fact Sheet</w:t>
            </w:r>
            <w:r>
              <w:rPr>
                <w:noProof/>
                <w:webHidden/>
              </w:rPr>
              <w:tab/>
            </w:r>
            <w:r>
              <w:rPr>
                <w:noProof/>
                <w:webHidden/>
              </w:rPr>
              <w:fldChar w:fldCharType="begin"/>
            </w:r>
            <w:r>
              <w:rPr>
                <w:noProof/>
                <w:webHidden/>
              </w:rPr>
              <w:instrText xml:space="preserve"> PAGEREF _Toc219273896 \h </w:instrText>
            </w:r>
            <w:r>
              <w:rPr>
                <w:noProof/>
                <w:webHidden/>
              </w:rPr>
            </w:r>
            <w:r>
              <w:rPr>
                <w:noProof/>
                <w:webHidden/>
              </w:rPr>
              <w:fldChar w:fldCharType="separate"/>
            </w:r>
            <w:r>
              <w:rPr>
                <w:noProof/>
                <w:webHidden/>
              </w:rPr>
              <w:t>20</w:t>
            </w:r>
            <w:r>
              <w:rPr>
                <w:noProof/>
                <w:webHidden/>
              </w:rPr>
              <w:fldChar w:fldCharType="end"/>
            </w:r>
          </w:hyperlink>
        </w:p>
        <w:p w14:paraId="43C72E3E" w14:textId="495C814C" w:rsidR="007F32AD" w:rsidRDefault="007F32AD">
          <w:pPr>
            <w:pStyle w:val="TOC1"/>
            <w:tabs>
              <w:tab w:val="right" w:leader="dot" w:pos="10070"/>
            </w:tabs>
            <w:rPr>
              <w:rFonts w:eastAsiaTheme="minorEastAsia"/>
              <w:noProof/>
              <w:kern w:val="2"/>
              <w:szCs w:val="24"/>
              <w:lang w:val="en-US"/>
              <w14:ligatures w14:val="standardContextual"/>
            </w:rPr>
          </w:pPr>
          <w:hyperlink w:anchor="_Toc219273897" w:history="1">
            <w:r w:rsidRPr="00971C4A">
              <w:rPr>
                <w:rStyle w:val="Hyperlink"/>
                <w:noProof/>
              </w:rPr>
              <w:t>Appendix C</w:t>
            </w:r>
            <w:r>
              <w:rPr>
                <w:noProof/>
                <w:webHidden/>
              </w:rPr>
              <w:tab/>
            </w:r>
            <w:r>
              <w:rPr>
                <w:noProof/>
                <w:webHidden/>
              </w:rPr>
              <w:fldChar w:fldCharType="begin"/>
            </w:r>
            <w:r>
              <w:rPr>
                <w:noProof/>
                <w:webHidden/>
              </w:rPr>
              <w:instrText xml:space="preserve"> PAGEREF _Toc219273897 \h </w:instrText>
            </w:r>
            <w:r>
              <w:rPr>
                <w:noProof/>
                <w:webHidden/>
              </w:rPr>
            </w:r>
            <w:r>
              <w:rPr>
                <w:noProof/>
                <w:webHidden/>
              </w:rPr>
              <w:fldChar w:fldCharType="separate"/>
            </w:r>
            <w:r>
              <w:rPr>
                <w:noProof/>
                <w:webHidden/>
              </w:rPr>
              <w:t>22</w:t>
            </w:r>
            <w:r>
              <w:rPr>
                <w:noProof/>
                <w:webHidden/>
              </w:rPr>
              <w:fldChar w:fldCharType="end"/>
            </w:r>
          </w:hyperlink>
        </w:p>
        <w:p w14:paraId="4B45EBE5" w14:textId="2F2EE715" w:rsidR="007F32AD" w:rsidRDefault="007F32AD">
          <w:pPr>
            <w:pStyle w:val="TOC1"/>
            <w:tabs>
              <w:tab w:val="right" w:leader="dot" w:pos="10070"/>
            </w:tabs>
            <w:rPr>
              <w:rFonts w:eastAsiaTheme="minorEastAsia"/>
              <w:noProof/>
              <w:kern w:val="2"/>
              <w:szCs w:val="24"/>
              <w:lang w:val="en-US"/>
              <w14:ligatures w14:val="standardContextual"/>
            </w:rPr>
          </w:pPr>
          <w:hyperlink w:anchor="_Toc219273898" w:history="1">
            <w:r w:rsidRPr="00971C4A">
              <w:rPr>
                <w:rStyle w:val="Hyperlink"/>
                <w:rFonts w:eastAsia="Calibri"/>
                <w:noProof/>
              </w:rPr>
              <w:t>Recommendations on the use of prophylactic doxycycline for the prevention of bacterial STI (chlamydia, gonorrhea, syphilis): a living guideline</w:t>
            </w:r>
            <w:r>
              <w:rPr>
                <w:noProof/>
                <w:webHidden/>
              </w:rPr>
              <w:tab/>
            </w:r>
            <w:r>
              <w:rPr>
                <w:noProof/>
                <w:webHidden/>
              </w:rPr>
              <w:fldChar w:fldCharType="begin"/>
            </w:r>
            <w:r>
              <w:rPr>
                <w:noProof/>
                <w:webHidden/>
              </w:rPr>
              <w:instrText xml:space="preserve"> PAGEREF _Toc219273898 \h </w:instrText>
            </w:r>
            <w:r>
              <w:rPr>
                <w:noProof/>
                <w:webHidden/>
              </w:rPr>
            </w:r>
            <w:r>
              <w:rPr>
                <w:noProof/>
                <w:webHidden/>
              </w:rPr>
              <w:fldChar w:fldCharType="separate"/>
            </w:r>
            <w:r>
              <w:rPr>
                <w:noProof/>
                <w:webHidden/>
              </w:rPr>
              <w:t>22</w:t>
            </w:r>
            <w:r>
              <w:rPr>
                <w:noProof/>
                <w:webHidden/>
              </w:rPr>
              <w:fldChar w:fldCharType="end"/>
            </w:r>
          </w:hyperlink>
        </w:p>
        <w:p w14:paraId="507D0376" w14:textId="54779532" w:rsidR="00162CF9" w:rsidRDefault="00C523E6" w:rsidP="00162CF9">
          <w:pPr>
            <w:spacing w:after="0" w:line="240" w:lineRule="auto"/>
          </w:pPr>
          <w:r>
            <w:rPr>
              <w:b/>
              <w:bCs/>
              <w:noProof/>
            </w:rPr>
            <w:fldChar w:fldCharType="end"/>
          </w:r>
        </w:p>
      </w:sdtContent>
    </w:sdt>
    <w:p w14:paraId="66FAB908" w14:textId="77777777" w:rsidR="000159DF" w:rsidRDefault="000159DF" w:rsidP="00162CF9">
      <w:pPr>
        <w:tabs>
          <w:tab w:val="left" w:pos="9105"/>
        </w:tabs>
      </w:pPr>
    </w:p>
    <w:p w14:paraId="3B99571A" w14:textId="77777777" w:rsidR="000159DF" w:rsidRDefault="00162CF9" w:rsidP="000159DF">
      <w:pPr>
        <w:rPr>
          <w:rFonts w:ascii="Times Roman Bold" w:hAnsi="Times Roman Bold"/>
          <w:sz w:val="28"/>
        </w:rPr>
      </w:pPr>
      <w:r>
        <w:rPr>
          <w:rFonts w:ascii="Times Roman Bold" w:hAnsi="Times Roman Bold"/>
          <w:sz w:val="28"/>
        </w:rPr>
        <w:br w:type="page"/>
      </w:r>
    </w:p>
    <w:p w14:paraId="04AF4934" w14:textId="34C0B517" w:rsidR="000159DF" w:rsidRPr="00A02ADD" w:rsidRDefault="000159DF" w:rsidP="003127C3">
      <w:pPr>
        <w:pStyle w:val="Heading1"/>
        <w:rPr>
          <w:vertAlign w:val="superscript"/>
        </w:rPr>
      </w:pPr>
      <w:bookmarkStart w:id="1" w:name="_Toc219273863"/>
      <w:r w:rsidRPr="003127C3">
        <w:lastRenderedPageBreak/>
        <w:t>Case Definition</w:t>
      </w:r>
      <w:bookmarkEnd w:id="1"/>
    </w:p>
    <w:p w14:paraId="068EA76F" w14:textId="77777777" w:rsidR="00D426C3" w:rsidRPr="00D426C3" w:rsidRDefault="00D426C3" w:rsidP="00D426C3">
      <w:pPr>
        <w:rPr>
          <w:b/>
          <w:bCs/>
          <w:lang w:val="en-US"/>
        </w:rPr>
      </w:pPr>
      <w:r w:rsidRPr="00D426C3">
        <w:rPr>
          <w:b/>
          <w:bCs/>
          <w:lang w:val="en-US"/>
        </w:rPr>
        <w:t>Confirmed case—genital infections</w:t>
      </w:r>
    </w:p>
    <w:p w14:paraId="29B9FBEE" w14:textId="77777777" w:rsidR="00D426C3" w:rsidRPr="00D426C3" w:rsidRDefault="00D426C3" w:rsidP="00D426C3">
      <w:pPr>
        <w:rPr>
          <w:lang w:val="en-US"/>
        </w:rPr>
      </w:pPr>
      <w:r w:rsidRPr="00D426C3">
        <w:rPr>
          <w:lang w:val="en-US"/>
        </w:rPr>
        <w:t>Laboratory evidence of infection in genitourinary specimens:</w:t>
      </w:r>
    </w:p>
    <w:p w14:paraId="5F02B28D" w14:textId="77777777" w:rsidR="00D426C3" w:rsidRPr="00D426C3" w:rsidRDefault="00D426C3" w:rsidP="00114037">
      <w:pPr>
        <w:numPr>
          <w:ilvl w:val="0"/>
          <w:numId w:val="17"/>
        </w:numPr>
        <w:rPr>
          <w:lang w:val="en-US"/>
        </w:rPr>
      </w:pPr>
      <w:r w:rsidRPr="00D426C3">
        <w:rPr>
          <w:lang w:val="en-US"/>
        </w:rPr>
        <w:t>detection of </w:t>
      </w:r>
      <w:r w:rsidRPr="00D426C3">
        <w:rPr>
          <w:i/>
          <w:iCs/>
          <w:lang w:val="en-US"/>
        </w:rPr>
        <w:t>C. trachomatis</w:t>
      </w:r>
      <w:r w:rsidRPr="00D426C3">
        <w:rPr>
          <w:lang w:val="en-US"/>
        </w:rPr>
        <w:t>  by culture</w:t>
      </w:r>
      <w:r w:rsidRPr="00D426C3">
        <w:rPr>
          <w:lang w:val="en-US"/>
        </w:rPr>
        <w:br/>
      </w:r>
      <w:r w:rsidRPr="00D426C3">
        <w:rPr>
          <w:b/>
          <w:bCs/>
          <w:lang w:val="en-US"/>
        </w:rPr>
        <w:t>or</w:t>
      </w:r>
    </w:p>
    <w:p w14:paraId="0588A3F1" w14:textId="77777777" w:rsidR="00D426C3" w:rsidRPr="00D426C3" w:rsidRDefault="00D426C3" w:rsidP="00114037">
      <w:pPr>
        <w:numPr>
          <w:ilvl w:val="0"/>
          <w:numId w:val="17"/>
        </w:numPr>
        <w:rPr>
          <w:lang w:val="en-US"/>
        </w:rPr>
      </w:pPr>
      <w:r w:rsidRPr="00D426C3">
        <w:rPr>
          <w:lang w:val="en-US"/>
        </w:rPr>
        <w:t>detection of </w:t>
      </w:r>
      <w:r w:rsidRPr="00D426C3">
        <w:rPr>
          <w:i/>
          <w:iCs/>
          <w:lang w:val="en-US"/>
        </w:rPr>
        <w:t>C. trachomatis</w:t>
      </w:r>
      <w:r w:rsidRPr="00D426C3">
        <w:rPr>
          <w:lang w:val="en-US"/>
        </w:rPr>
        <w:t> nucleic acid</w:t>
      </w:r>
      <w:r w:rsidRPr="00D426C3">
        <w:rPr>
          <w:lang w:val="en-US"/>
        </w:rPr>
        <w:br/>
      </w:r>
      <w:r w:rsidRPr="00D426C3">
        <w:rPr>
          <w:b/>
          <w:bCs/>
          <w:lang w:val="en-US"/>
        </w:rPr>
        <w:t>or</w:t>
      </w:r>
    </w:p>
    <w:p w14:paraId="66060A6C" w14:textId="77777777" w:rsidR="00D426C3" w:rsidRPr="00D426C3" w:rsidRDefault="00D426C3" w:rsidP="00114037">
      <w:pPr>
        <w:numPr>
          <w:ilvl w:val="0"/>
          <w:numId w:val="17"/>
        </w:numPr>
        <w:rPr>
          <w:lang w:val="en-US"/>
        </w:rPr>
      </w:pPr>
      <w:r w:rsidRPr="00D426C3">
        <w:rPr>
          <w:lang w:val="en-US"/>
        </w:rPr>
        <w:t>detection of </w:t>
      </w:r>
      <w:r w:rsidRPr="00D426C3">
        <w:rPr>
          <w:i/>
          <w:iCs/>
          <w:lang w:val="en-US"/>
        </w:rPr>
        <w:t>C. trachomatis</w:t>
      </w:r>
      <w:r w:rsidRPr="00D426C3">
        <w:rPr>
          <w:lang w:val="en-US"/>
        </w:rPr>
        <w:t> antigen</w:t>
      </w:r>
    </w:p>
    <w:p w14:paraId="10CAC214" w14:textId="77777777" w:rsidR="00D426C3" w:rsidRPr="00D426C3" w:rsidRDefault="00D426C3" w:rsidP="00D426C3">
      <w:pPr>
        <w:rPr>
          <w:b/>
          <w:bCs/>
          <w:lang w:val="en-US"/>
        </w:rPr>
      </w:pPr>
      <w:r w:rsidRPr="00D426C3">
        <w:rPr>
          <w:b/>
          <w:bCs/>
          <w:lang w:val="en-US"/>
        </w:rPr>
        <w:t>Confirmed case—extra-genital infections</w:t>
      </w:r>
    </w:p>
    <w:p w14:paraId="4D8441DF" w14:textId="77777777" w:rsidR="00D426C3" w:rsidRPr="00D426C3" w:rsidRDefault="00D426C3" w:rsidP="00D426C3">
      <w:pPr>
        <w:rPr>
          <w:lang w:val="en-US"/>
        </w:rPr>
      </w:pPr>
      <w:r w:rsidRPr="00D426C3">
        <w:rPr>
          <w:lang w:val="en-US"/>
        </w:rPr>
        <w:t>Laboratory evidence of infection in rectum, conjunctiva, pharynx and other extra-genital sites:</w:t>
      </w:r>
    </w:p>
    <w:p w14:paraId="65DFE239" w14:textId="77777777" w:rsidR="00D426C3" w:rsidRPr="00D426C3" w:rsidRDefault="00D426C3" w:rsidP="00114037">
      <w:pPr>
        <w:numPr>
          <w:ilvl w:val="0"/>
          <w:numId w:val="18"/>
        </w:numPr>
        <w:rPr>
          <w:lang w:val="en-US"/>
        </w:rPr>
      </w:pPr>
      <w:r w:rsidRPr="00D426C3">
        <w:rPr>
          <w:lang w:val="en-US"/>
        </w:rPr>
        <w:t>detection of </w:t>
      </w:r>
      <w:r w:rsidRPr="00D426C3">
        <w:rPr>
          <w:i/>
          <w:iCs/>
          <w:lang w:val="en-US"/>
        </w:rPr>
        <w:t>C. trachomatis</w:t>
      </w:r>
      <w:r w:rsidRPr="00D426C3">
        <w:rPr>
          <w:lang w:val="en-US"/>
        </w:rPr>
        <w:t> by culture</w:t>
      </w:r>
      <w:r w:rsidRPr="00D426C3">
        <w:rPr>
          <w:lang w:val="en-US"/>
        </w:rPr>
        <w:br/>
      </w:r>
      <w:r w:rsidRPr="00D426C3">
        <w:rPr>
          <w:b/>
          <w:bCs/>
          <w:lang w:val="en-US"/>
        </w:rPr>
        <w:t>or</w:t>
      </w:r>
    </w:p>
    <w:p w14:paraId="58F69938" w14:textId="77777777" w:rsidR="00D426C3" w:rsidRPr="00D426C3" w:rsidRDefault="00D426C3" w:rsidP="00114037">
      <w:pPr>
        <w:numPr>
          <w:ilvl w:val="0"/>
          <w:numId w:val="18"/>
        </w:numPr>
        <w:rPr>
          <w:lang w:val="en-US"/>
        </w:rPr>
      </w:pPr>
      <w:r w:rsidRPr="00D426C3">
        <w:rPr>
          <w:lang w:val="en-US"/>
        </w:rPr>
        <w:t>detection of </w:t>
      </w:r>
      <w:r w:rsidRPr="00D426C3">
        <w:rPr>
          <w:i/>
          <w:iCs/>
          <w:lang w:val="en-US"/>
        </w:rPr>
        <w:t>C. trachomatis</w:t>
      </w:r>
      <w:r w:rsidRPr="00D426C3">
        <w:rPr>
          <w:lang w:val="en-US"/>
        </w:rPr>
        <w:t> nucleic acid</w:t>
      </w:r>
      <w:r w:rsidRPr="00D426C3">
        <w:rPr>
          <w:lang w:val="en-US"/>
        </w:rPr>
        <w:br/>
      </w:r>
      <w:r w:rsidRPr="00D426C3">
        <w:rPr>
          <w:b/>
          <w:bCs/>
          <w:lang w:val="en-US"/>
        </w:rPr>
        <w:t>or</w:t>
      </w:r>
    </w:p>
    <w:p w14:paraId="0760E47F" w14:textId="77777777" w:rsidR="00D426C3" w:rsidRPr="00D426C3" w:rsidRDefault="00D426C3" w:rsidP="00114037">
      <w:pPr>
        <w:numPr>
          <w:ilvl w:val="0"/>
          <w:numId w:val="18"/>
        </w:numPr>
        <w:rPr>
          <w:lang w:val="en-US"/>
        </w:rPr>
      </w:pPr>
      <w:r w:rsidRPr="00D426C3">
        <w:rPr>
          <w:lang w:val="en-US"/>
        </w:rPr>
        <w:t>detection of </w:t>
      </w:r>
      <w:r w:rsidRPr="00D426C3">
        <w:rPr>
          <w:i/>
          <w:iCs/>
          <w:lang w:val="en-US"/>
        </w:rPr>
        <w:t>C. trachomatis</w:t>
      </w:r>
      <w:r w:rsidRPr="00D426C3">
        <w:rPr>
          <w:lang w:val="en-US"/>
        </w:rPr>
        <w:t> antigen</w:t>
      </w:r>
    </w:p>
    <w:p w14:paraId="2B2A85E0" w14:textId="77777777" w:rsidR="00D426C3" w:rsidRPr="00D426C3" w:rsidRDefault="00D426C3" w:rsidP="00D426C3">
      <w:pPr>
        <w:rPr>
          <w:b/>
          <w:bCs/>
          <w:lang w:val="en-US"/>
        </w:rPr>
      </w:pPr>
      <w:r w:rsidRPr="00D426C3">
        <w:rPr>
          <w:b/>
          <w:bCs/>
          <w:lang w:val="en-US"/>
        </w:rPr>
        <w:t>Confirmed case—perinatally acquired infections</w:t>
      </w:r>
    </w:p>
    <w:p w14:paraId="195E9C86" w14:textId="77777777" w:rsidR="00D426C3" w:rsidRPr="00D426C3" w:rsidRDefault="00D426C3" w:rsidP="00D426C3">
      <w:pPr>
        <w:rPr>
          <w:lang w:val="en-US"/>
        </w:rPr>
      </w:pPr>
      <w:r w:rsidRPr="00D426C3">
        <w:rPr>
          <w:lang w:val="en-US"/>
        </w:rPr>
        <w:t>Laboratory evidence of infection:</w:t>
      </w:r>
    </w:p>
    <w:p w14:paraId="5DA7725B" w14:textId="77777777" w:rsidR="00D426C3" w:rsidRPr="00D426C3" w:rsidRDefault="00D426C3" w:rsidP="00114037">
      <w:pPr>
        <w:numPr>
          <w:ilvl w:val="0"/>
          <w:numId w:val="19"/>
        </w:numPr>
        <w:rPr>
          <w:lang w:val="en-US"/>
        </w:rPr>
      </w:pPr>
      <w:r w:rsidRPr="00D426C3">
        <w:rPr>
          <w:lang w:val="en-US"/>
        </w:rPr>
        <w:t>Detection and confirmation of </w:t>
      </w:r>
      <w:r w:rsidRPr="00D426C3">
        <w:rPr>
          <w:i/>
          <w:iCs/>
          <w:lang w:val="en-US"/>
        </w:rPr>
        <w:t>C. trachomatis</w:t>
      </w:r>
      <w:r w:rsidRPr="00D426C3">
        <w:rPr>
          <w:lang w:val="en-US"/>
        </w:rPr>
        <w:t> in nasopharyngeal or other respiratory tract specimens from an infant in whom pneumonia developed in the first six months of life:</w:t>
      </w:r>
    </w:p>
    <w:p w14:paraId="7BDAF74E" w14:textId="77777777" w:rsidR="00D426C3" w:rsidRPr="00D426C3" w:rsidRDefault="00D426C3" w:rsidP="00114037">
      <w:pPr>
        <w:numPr>
          <w:ilvl w:val="1"/>
          <w:numId w:val="19"/>
        </w:numPr>
        <w:rPr>
          <w:lang w:val="en-US"/>
        </w:rPr>
      </w:pPr>
      <w:r w:rsidRPr="00D426C3">
        <w:rPr>
          <w:lang w:val="en-US"/>
        </w:rPr>
        <w:t>isolation of </w:t>
      </w:r>
      <w:r w:rsidRPr="00D426C3">
        <w:rPr>
          <w:i/>
          <w:iCs/>
          <w:lang w:val="en-US"/>
        </w:rPr>
        <w:t>C. trachomatis</w:t>
      </w:r>
      <w:r w:rsidRPr="00D426C3">
        <w:rPr>
          <w:lang w:val="en-US"/>
        </w:rPr>
        <w:t> by culture</w:t>
      </w:r>
      <w:r w:rsidRPr="00D426C3">
        <w:rPr>
          <w:lang w:val="en-US"/>
        </w:rPr>
        <w:br/>
      </w:r>
      <w:r w:rsidRPr="00D426C3">
        <w:rPr>
          <w:b/>
          <w:bCs/>
          <w:lang w:val="en-US"/>
        </w:rPr>
        <w:t>or</w:t>
      </w:r>
    </w:p>
    <w:p w14:paraId="1A4E5AE8" w14:textId="77777777" w:rsidR="00D426C3" w:rsidRPr="00D426C3" w:rsidRDefault="00D426C3" w:rsidP="00114037">
      <w:pPr>
        <w:numPr>
          <w:ilvl w:val="1"/>
          <w:numId w:val="19"/>
        </w:numPr>
        <w:rPr>
          <w:lang w:val="en-US"/>
        </w:rPr>
      </w:pPr>
      <w:r w:rsidRPr="00D426C3">
        <w:rPr>
          <w:lang w:val="en-US"/>
        </w:rPr>
        <w:t>demonstration of </w:t>
      </w:r>
      <w:r w:rsidRPr="00D426C3">
        <w:rPr>
          <w:i/>
          <w:iCs/>
          <w:lang w:val="en-US"/>
        </w:rPr>
        <w:t>C. trachomatis</w:t>
      </w:r>
      <w:r w:rsidRPr="00D426C3">
        <w:rPr>
          <w:lang w:val="en-US"/>
        </w:rPr>
        <w:t> nucleic acid</w:t>
      </w:r>
      <w:r w:rsidRPr="00D426C3">
        <w:rPr>
          <w:lang w:val="en-US"/>
        </w:rPr>
        <w:br/>
      </w:r>
      <w:r w:rsidRPr="00D426C3">
        <w:rPr>
          <w:b/>
          <w:bCs/>
          <w:lang w:val="en-US"/>
        </w:rPr>
        <w:t>or</w:t>
      </w:r>
    </w:p>
    <w:p w14:paraId="4B023B97" w14:textId="77777777" w:rsidR="00D426C3" w:rsidRPr="00D426C3" w:rsidRDefault="00D426C3" w:rsidP="00114037">
      <w:pPr>
        <w:numPr>
          <w:ilvl w:val="1"/>
          <w:numId w:val="19"/>
        </w:numPr>
        <w:rPr>
          <w:lang w:val="en-US"/>
        </w:rPr>
      </w:pPr>
      <w:r w:rsidRPr="00D426C3">
        <w:rPr>
          <w:lang w:val="en-US"/>
        </w:rPr>
        <w:t>demonstration of </w:t>
      </w:r>
      <w:r w:rsidRPr="00D426C3">
        <w:rPr>
          <w:i/>
          <w:iCs/>
          <w:lang w:val="en-US"/>
        </w:rPr>
        <w:t>C. trachomatis </w:t>
      </w:r>
      <w:r w:rsidRPr="00D426C3">
        <w:rPr>
          <w:lang w:val="en-US"/>
        </w:rPr>
        <w:t>antigen</w:t>
      </w:r>
    </w:p>
    <w:p w14:paraId="2FB4EA5F" w14:textId="77777777" w:rsidR="00D426C3" w:rsidRPr="00D426C3" w:rsidRDefault="00D426C3" w:rsidP="00FD34F2">
      <w:pPr>
        <w:ind w:firstLine="360"/>
        <w:rPr>
          <w:lang w:val="en-US"/>
        </w:rPr>
      </w:pPr>
      <w:r w:rsidRPr="00D426C3">
        <w:rPr>
          <w:b/>
          <w:bCs/>
          <w:lang w:val="en-US"/>
        </w:rPr>
        <w:t>or</w:t>
      </w:r>
    </w:p>
    <w:p w14:paraId="4A90022C" w14:textId="77777777" w:rsidR="00D426C3" w:rsidRPr="00D426C3" w:rsidRDefault="00D426C3" w:rsidP="00114037">
      <w:pPr>
        <w:numPr>
          <w:ilvl w:val="0"/>
          <w:numId w:val="19"/>
        </w:numPr>
        <w:rPr>
          <w:lang w:val="en-US"/>
        </w:rPr>
      </w:pPr>
      <w:r w:rsidRPr="00D426C3">
        <w:rPr>
          <w:lang w:val="en-US"/>
        </w:rPr>
        <w:t>Detection and confirmation of </w:t>
      </w:r>
      <w:r w:rsidRPr="00D426C3">
        <w:rPr>
          <w:i/>
          <w:iCs/>
          <w:lang w:val="en-US"/>
        </w:rPr>
        <w:t>C. trachomatis</w:t>
      </w:r>
      <w:r w:rsidRPr="00D426C3">
        <w:rPr>
          <w:lang w:val="en-US"/>
        </w:rPr>
        <w:t> in conjunctival specimens from an infant who developed conjunctivitis in the first month of life:</w:t>
      </w:r>
    </w:p>
    <w:p w14:paraId="11B02CA7" w14:textId="77777777" w:rsidR="00D426C3" w:rsidRPr="00D426C3" w:rsidRDefault="00D426C3" w:rsidP="00114037">
      <w:pPr>
        <w:numPr>
          <w:ilvl w:val="1"/>
          <w:numId w:val="19"/>
        </w:numPr>
        <w:rPr>
          <w:lang w:val="en-US"/>
        </w:rPr>
      </w:pPr>
      <w:r w:rsidRPr="00D426C3">
        <w:rPr>
          <w:lang w:val="en-US"/>
        </w:rPr>
        <w:lastRenderedPageBreak/>
        <w:t>isolation of </w:t>
      </w:r>
      <w:r w:rsidRPr="00D426C3">
        <w:rPr>
          <w:i/>
          <w:iCs/>
          <w:lang w:val="en-US"/>
        </w:rPr>
        <w:t>C. trachomatis</w:t>
      </w:r>
      <w:r w:rsidRPr="00D426C3">
        <w:rPr>
          <w:lang w:val="en-US"/>
        </w:rPr>
        <w:t> by culture</w:t>
      </w:r>
      <w:r w:rsidRPr="00D426C3">
        <w:rPr>
          <w:lang w:val="en-US"/>
        </w:rPr>
        <w:br/>
      </w:r>
      <w:r w:rsidRPr="00D426C3">
        <w:rPr>
          <w:b/>
          <w:bCs/>
          <w:lang w:val="en-US"/>
        </w:rPr>
        <w:t>or</w:t>
      </w:r>
    </w:p>
    <w:p w14:paraId="2EADADE7" w14:textId="77777777" w:rsidR="00D426C3" w:rsidRPr="00D426C3" w:rsidRDefault="00D426C3" w:rsidP="00114037">
      <w:pPr>
        <w:numPr>
          <w:ilvl w:val="1"/>
          <w:numId w:val="19"/>
        </w:numPr>
        <w:rPr>
          <w:lang w:val="en-US"/>
        </w:rPr>
      </w:pPr>
      <w:r w:rsidRPr="00D426C3">
        <w:rPr>
          <w:lang w:val="en-US"/>
        </w:rPr>
        <w:t>demonstration of </w:t>
      </w:r>
      <w:r w:rsidRPr="00D426C3">
        <w:rPr>
          <w:i/>
          <w:iCs/>
          <w:lang w:val="en-US"/>
        </w:rPr>
        <w:t>C. trachomatis</w:t>
      </w:r>
      <w:r w:rsidRPr="00D426C3">
        <w:rPr>
          <w:lang w:val="en-US"/>
        </w:rPr>
        <w:t> nucleic acid</w:t>
      </w:r>
      <w:r w:rsidRPr="00D426C3">
        <w:rPr>
          <w:lang w:val="en-US"/>
        </w:rPr>
        <w:br/>
      </w:r>
      <w:r w:rsidRPr="00D426C3">
        <w:rPr>
          <w:b/>
          <w:bCs/>
          <w:lang w:val="en-US"/>
        </w:rPr>
        <w:t>or</w:t>
      </w:r>
    </w:p>
    <w:p w14:paraId="57F54957" w14:textId="77777777" w:rsidR="00D426C3" w:rsidRPr="00D426C3" w:rsidRDefault="00D426C3" w:rsidP="00114037">
      <w:pPr>
        <w:numPr>
          <w:ilvl w:val="1"/>
          <w:numId w:val="19"/>
        </w:numPr>
        <w:rPr>
          <w:lang w:val="en-US"/>
        </w:rPr>
      </w:pPr>
      <w:r w:rsidRPr="00D426C3">
        <w:rPr>
          <w:lang w:val="en-US"/>
        </w:rPr>
        <w:t>demonstration of </w:t>
      </w:r>
      <w:r w:rsidRPr="00D426C3">
        <w:rPr>
          <w:i/>
          <w:iCs/>
          <w:lang w:val="en-US"/>
        </w:rPr>
        <w:t>C. trachomatis</w:t>
      </w:r>
      <w:r w:rsidRPr="00D426C3">
        <w:rPr>
          <w:lang w:val="en-US"/>
        </w:rPr>
        <w:t> antigen</w:t>
      </w:r>
    </w:p>
    <w:p w14:paraId="780B60F3" w14:textId="77777777" w:rsidR="00D426C3" w:rsidRPr="00D426C3" w:rsidRDefault="00D426C3" w:rsidP="00D426C3">
      <w:pPr>
        <w:rPr>
          <w:b/>
          <w:bCs/>
          <w:lang w:val="en-US"/>
        </w:rPr>
      </w:pPr>
      <w:r w:rsidRPr="00D426C3">
        <w:rPr>
          <w:b/>
          <w:bCs/>
          <w:lang w:val="en-US"/>
        </w:rPr>
        <w:t>Laboratory comments</w:t>
      </w:r>
    </w:p>
    <w:p w14:paraId="67933C04" w14:textId="77777777" w:rsidR="00D426C3" w:rsidRPr="00D426C3" w:rsidRDefault="00D426C3" w:rsidP="00D426C3">
      <w:pPr>
        <w:rPr>
          <w:lang w:val="en-US"/>
        </w:rPr>
      </w:pPr>
      <w:r w:rsidRPr="00D426C3">
        <w:rPr>
          <w:lang w:val="en-US"/>
        </w:rPr>
        <w:t>IgM antibody detection is suitable for diagnosis of </w:t>
      </w:r>
      <w:r w:rsidRPr="00D426C3">
        <w:rPr>
          <w:i/>
          <w:iCs/>
          <w:lang w:val="en-US"/>
        </w:rPr>
        <w:t>C. trachomatis</w:t>
      </w:r>
      <w:r w:rsidRPr="00D426C3">
        <w:rPr>
          <w:lang w:val="en-US"/>
        </w:rPr>
        <w:t> pneumonia in infants &lt; 3 months of age only.</w:t>
      </w:r>
    </w:p>
    <w:p w14:paraId="5A5D7EB8" w14:textId="77777777" w:rsidR="00D426C3" w:rsidRPr="00D426C3" w:rsidRDefault="00D426C3" w:rsidP="00D426C3">
      <w:pPr>
        <w:rPr>
          <w:b/>
          <w:bCs/>
          <w:lang w:val="en-US"/>
        </w:rPr>
      </w:pPr>
      <w:r w:rsidRPr="00D426C3">
        <w:rPr>
          <w:b/>
          <w:bCs/>
          <w:lang w:val="en-US"/>
        </w:rPr>
        <w:t>Comments</w:t>
      </w:r>
    </w:p>
    <w:p w14:paraId="4FD33E72" w14:textId="77777777" w:rsidR="00D426C3" w:rsidRPr="00D426C3" w:rsidRDefault="00D426C3" w:rsidP="00D426C3">
      <w:pPr>
        <w:rPr>
          <w:lang w:val="en-US"/>
        </w:rPr>
      </w:pPr>
      <w:r w:rsidRPr="00D426C3">
        <w:rPr>
          <w:lang w:val="en-US"/>
        </w:rPr>
        <w:t>Each case classification is mutually exclusive.</w:t>
      </w:r>
    </w:p>
    <w:p w14:paraId="760F80F0" w14:textId="77777777" w:rsidR="00D426C3" w:rsidRPr="00D426C3" w:rsidRDefault="00D426C3" w:rsidP="00D426C3">
      <w:pPr>
        <w:rPr>
          <w:lang w:val="en-US"/>
        </w:rPr>
      </w:pPr>
      <w:r w:rsidRPr="00D426C3">
        <w:rPr>
          <w:lang w:val="en-US"/>
        </w:rPr>
        <w:t>Individuals with more than one site of infection concurrently may fall under more than one case classification but will be counted as one case with multiple sites of infection identified to avoid duplicate counting of cases.</w:t>
      </w:r>
    </w:p>
    <w:p w14:paraId="5AA1B145" w14:textId="77777777" w:rsidR="000D45FC" w:rsidRDefault="000D45FC" w:rsidP="003127C3">
      <w:pPr>
        <w:pStyle w:val="Heading1"/>
      </w:pPr>
    </w:p>
    <w:p w14:paraId="081A7A9D" w14:textId="5FEFF045" w:rsidR="000159DF" w:rsidRPr="00A02ADD" w:rsidRDefault="000159DF" w:rsidP="003127C3">
      <w:pPr>
        <w:pStyle w:val="Heading1"/>
        <w:rPr>
          <w:vertAlign w:val="superscript"/>
        </w:rPr>
      </w:pPr>
      <w:bookmarkStart w:id="2" w:name="_Toc219273864"/>
      <w:r w:rsidRPr="001E7E7E">
        <w:t>Reporting Requirements</w:t>
      </w:r>
      <w:bookmarkEnd w:id="2"/>
    </w:p>
    <w:p w14:paraId="7ADE84A4" w14:textId="77777777" w:rsidR="000159DF" w:rsidRPr="00E54545" w:rsidRDefault="000159DF" w:rsidP="00ED740A">
      <w:pPr>
        <w:pStyle w:val="Heading2"/>
      </w:pPr>
      <w:bookmarkStart w:id="3" w:name="_Toc219273865"/>
      <w:r w:rsidRPr="00E54545">
        <w:t>Physicians, Health Practitioners and others</w:t>
      </w:r>
      <w:bookmarkEnd w:id="3"/>
    </w:p>
    <w:p w14:paraId="45937CD7" w14:textId="5142D8EE" w:rsidR="000159DF" w:rsidRPr="00162CF9" w:rsidRDefault="000159DF" w:rsidP="00557231">
      <w:pPr>
        <w:pStyle w:val="Default"/>
        <w:rPr>
          <w:rFonts w:asciiTheme="minorHAnsi" w:hAnsiTheme="minorHAnsi" w:cs="Times New Roman"/>
        </w:rPr>
      </w:pPr>
      <w:r w:rsidRPr="00162CF9">
        <w:rPr>
          <w:rFonts w:asciiTheme="minorHAnsi" w:hAnsiTheme="minorHAnsi" w:cs="Times New Roman"/>
        </w:rPr>
        <w:t xml:space="preserve">Physicians, </w:t>
      </w:r>
      <w:r w:rsidR="00880851" w:rsidRPr="00162CF9">
        <w:rPr>
          <w:rFonts w:asciiTheme="minorHAnsi" w:hAnsiTheme="minorHAnsi" w:cs="Times New Roman"/>
        </w:rPr>
        <w:t>health</w:t>
      </w:r>
      <w:r w:rsidRPr="00162CF9">
        <w:rPr>
          <w:rFonts w:asciiTheme="minorHAnsi" w:hAnsiTheme="minorHAnsi" w:cs="Times New Roman"/>
        </w:rPr>
        <w:t xml:space="preserve"> practitioners</w:t>
      </w:r>
      <w:r w:rsidR="00880851" w:rsidRPr="00162CF9">
        <w:rPr>
          <w:rFonts w:asciiTheme="minorHAnsi" w:hAnsiTheme="minorHAnsi" w:cs="Times New Roman"/>
        </w:rPr>
        <w:t xml:space="preserve"> and others</w:t>
      </w:r>
      <w:r w:rsidRPr="00162CF9">
        <w:rPr>
          <w:rFonts w:asciiTheme="minorHAnsi" w:hAnsiTheme="minorHAnsi" w:cs="Times New Roman"/>
        </w:rPr>
        <w:t xml:space="preserve"> as listed in the </w:t>
      </w:r>
      <w:r w:rsidRPr="00162CF9">
        <w:rPr>
          <w:rFonts w:asciiTheme="minorHAnsi" w:hAnsiTheme="minorHAnsi" w:cs="Times New Roman"/>
          <w:i/>
          <w:iCs/>
        </w:rPr>
        <w:t>Public Health Act</w:t>
      </w:r>
      <w:r w:rsidRPr="00162CF9">
        <w:rPr>
          <w:rFonts w:asciiTheme="minorHAnsi" w:hAnsiTheme="minorHAnsi" w:cs="Times New Roman"/>
        </w:rPr>
        <w:t xml:space="preserve">, shall notify the Chief Public Health Officer (CPHO) (or designate) of all </w:t>
      </w:r>
      <w:r w:rsidR="00A8175C">
        <w:rPr>
          <w:rFonts w:asciiTheme="minorHAnsi" w:hAnsiTheme="minorHAnsi" w:cs="Times New Roman"/>
        </w:rPr>
        <w:t>lab</w:t>
      </w:r>
      <w:r w:rsidR="00E54545">
        <w:rPr>
          <w:rFonts w:asciiTheme="minorHAnsi" w:hAnsiTheme="minorHAnsi" w:cs="Times New Roman"/>
        </w:rPr>
        <w:t>-</w:t>
      </w:r>
      <w:r w:rsidRPr="00162CF9">
        <w:rPr>
          <w:rFonts w:asciiTheme="minorHAnsi" w:hAnsiTheme="minorHAnsi" w:cs="Times New Roman"/>
        </w:rPr>
        <w:t xml:space="preserve">confirmed cases </w:t>
      </w:r>
      <w:r w:rsidR="00593E45" w:rsidRPr="00162CF9">
        <w:rPr>
          <w:rFonts w:asciiTheme="minorHAnsi" w:hAnsiTheme="minorHAnsi" w:cs="Times New Roman"/>
        </w:rPr>
        <w:t>by phone</w:t>
      </w:r>
      <w:r w:rsidRPr="00162CF9">
        <w:rPr>
          <w:rFonts w:asciiTheme="minorHAnsi" w:hAnsiTheme="minorHAnsi" w:cs="Times New Roman"/>
        </w:rPr>
        <w:t xml:space="preserve"> </w:t>
      </w:r>
      <w:r w:rsidR="00EB6C24">
        <w:rPr>
          <w:rFonts w:asciiTheme="minorHAnsi" w:hAnsiTheme="minorHAnsi" w:cs="Times New Roman"/>
        </w:rPr>
        <w:t>as soon as possible and once the client has been made aware of their diagnosis</w:t>
      </w:r>
      <w:r w:rsidRPr="00162CF9">
        <w:rPr>
          <w:rFonts w:asciiTheme="minorHAnsi" w:hAnsiTheme="minorHAnsi" w:cs="Times New Roman"/>
        </w:rPr>
        <w:t xml:space="preserve"> </w:t>
      </w:r>
      <w:r w:rsidR="00593E45" w:rsidRPr="00162CF9">
        <w:rPr>
          <w:rFonts w:asciiTheme="minorHAnsi" w:hAnsiTheme="minorHAnsi" w:cs="Times New Roman"/>
        </w:rPr>
        <w:t>The information required</w:t>
      </w:r>
      <w:r w:rsidRPr="00162CF9">
        <w:rPr>
          <w:rFonts w:asciiTheme="minorHAnsi" w:hAnsiTheme="minorHAnsi" w:cs="Times New Roman"/>
        </w:rPr>
        <w:t xml:space="preserve"> will include: </w:t>
      </w:r>
    </w:p>
    <w:p w14:paraId="46292849" w14:textId="77777777" w:rsidR="000159DF" w:rsidRPr="00162CF9" w:rsidRDefault="00593E45" w:rsidP="00114037">
      <w:pPr>
        <w:pStyle w:val="Default"/>
        <w:numPr>
          <w:ilvl w:val="0"/>
          <w:numId w:val="1"/>
        </w:numPr>
        <w:rPr>
          <w:rFonts w:asciiTheme="minorHAnsi" w:hAnsiTheme="minorHAnsi" w:cs="Times New Roman"/>
        </w:rPr>
      </w:pPr>
      <w:r w:rsidRPr="00162CF9">
        <w:rPr>
          <w:rFonts w:asciiTheme="minorHAnsi" w:hAnsiTheme="minorHAnsi" w:cs="Times New Roman"/>
        </w:rPr>
        <w:t>case</w:t>
      </w:r>
      <w:r w:rsidR="000159DF" w:rsidRPr="00162CF9">
        <w:rPr>
          <w:rFonts w:asciiTheme="minorHAnsi" w:hAnsiTheme="minorHAnsi" w:cs="Times New Roman"/>
        </w:rPr>
        <w:t xml:space="preserve"> </w:t>
      </w:r>
      <w:r w:rsidR="00A8175C">
        <w:rPr>
          <w:rFonts w:asciiTheme="minorHAnsi" w:hAnsiTheme="minorHAnsi" w:cs="Times New Roman"/>
        </w:rPr>
        <w:t>name and MRN</w:t>
      </w:r>
    </w:p>
    <w:p w14:paraId="33FB4CBD" w14:textId="77777777" w:rsidR="000159DF" w:rsidRPr="00162CF9" w:rsidRDefault="000159DF" w:rsidP="00114037">
      <w:pPr>
        <w:pStyle w:val="Default"/>
        <w:numPr>
          <w:ilvl w:val="0"/>
          <w:numId w:val="1"/>
        </w:numPr>
        <w:rPr>
          <w:rFonts w:asciiTheme="minorHAnsi" w:hAnsiTheme="minorHAnsi" w:cs="Times New Roman"/>
        </w:rPr>
      </w:pPr>
      <w:r w:rsidRPr="00162CF9">
        <w:rPr>
          <w:rFonts w:asciiTheme="minorHAnsi" w:hAnsiTheme="minorHAnsi" w:cs="Times New Roman"/>
        </w:rPr>
        <w:t>laboratory/clinical findings</w:t>
      </w:r>
    </w:p>
    <w:p w14:paraId="4ABBCECB" w14:textId="77777777" w:rsidR="000159DF" w:rsidRPr="00162CF9" w:rsidRDefault="000159DF" w:rsidP="00114037">
      <w:pPr>
        <w:pStyle w:val="Default"/>
        <w:numPr>
          <w:ilvl w:val="0"/>
          <w:numId w:val="1"/>
        </w:numPr>
        <w:rPr>
          <w:rFonts w:asciiTheme="minorHAnsi" w:hAnsiTheme="minorHAnsi" w:cs="Times New Roman"/>
        </w:rPr>
      </w:pPr>
      <w:r w:rsidRPr="00162CF9">
        <w:rPr>
          <w:rFonts w:asciiTheme="minorHAnsi" w:hAnsiTheme="minorHAnsi" w:cs="Times New Roman"/>
        </w:rPr>
        <w:t xml:space="preserve">treatment details </w:t>
      </w:r>
    </w:p>
    <w:p w14:paraId="21F91D50" w14:textId="77777777" w:rsidR="000159DF" w:rsidRDefault="00593E45" w:rsidP="00114037">
      <w:pPr>
        <w:pStyle w:val="Default"/>
        <w:numPr>
          <w:ilvl w:val="0"/>
          <w:numId w:val="1"/>
        </w:numPr>
        <w:rPr>
          <w:rFonts w:asciiTheme="minorHAnsi" w:hAnsiTheme="minorHAnsi" w:cs="Times New Roman"/>
        </w:rPr>
      </w:pPr>
      <w:r w:rsidRPr="00162CF9">
        <w:rPr>
          <w:rFonts w:asciiTheme="minorHAnsi" w:hAnsiTheme="minorHAnsi" w:cs="Times New Roman"/>
        </w:rPr>
        <w:t>phone number for case</w:t>
      </w:r>
    </w:p>
    <w:p w14:paraId="754E72E7" w14:textId="77777777" w:rsidR="00E54545" w:rsidRDefault="00E54545" w:rsidP="00E54545">
      <w:pPr>
        <w:pStyle w:val="Default"/>
        <w:rPr>
          <w:rFonts w:asciiTheme="minorHAnsi" w:hAnsiTheme="minorHAnsi" w:cs="Times New Roman"/>
        </w:rPr>
      </w:pPr>
    </w:p>
    <w:p w14:paraId="5D9B0246" w14:textId="5DE38293" w:rsidR="00E54545" w:rsidRPr="0036412C" w:rsidRDefault="00E54545" w:rsidP="00E54545">
      <w:pPr>
        <w:pStyle w:val="Default"/>
        <w:rPr>
          <w:rFonts w:asciiTheme="minorHAnsi" w:hAnsiTheme="minorHAnsi" w:cs="Times New Roman"/>
        </w:rPr>
      </w:pPr>
      <w:bookmarkStart w:id="4" w:name="_Hlk213073521"/>
      <w:r>
        <w:rPr>
          <w:rFonts w:asciiTheme="minorHAnsi" w:hAnsiTheme="minorHAnsi" w:cs="Times New Roman"/>
        </w:rPr>
        <w:t xml:space="preserve">Although the lab sends positive results to the Chief Public Health Office (CPHO) (see </w:t>
      </w:r>
      <w:hyperlink w:anchor="_Laboratories" w:history="1">
        <w:r w:rsidRPr="002F2D4D">
          <w:rPr>
            <w:rStyle w:val="Hyperlink"/>
            <w:rFonts w:asciiTheme="minorHAnsi" w:hAnsiTheme="minorHAnsi" w:cs="Times New Roman"/>
          </w:rPr>
          <w:t>Laboratories</w:t>
        </w:r>
      </w:hyperlink>
      <w:r>
        <w:rPr>
          <w:rFonts w:asciiTheme="minorHAnsi" w:hAnsiTheme="minorHAnsi" w:cs="Times New Roman"/>
        </w:rPr>
        <w:t>) this does not negate the responsibility of the ordering health care provider to report the case with the above information to the CPHO. Failure to notify CPHO will delay the follow up of the client by Public Health Nursing for contact tracing, education and immunization assessment.</w:t>
      </w:r>
    </w:p>
    <w:bookmarkEnd w:id="4"/>
    <w:p w14:paraId="0366E960" w14:textId="77777777" w:rsidR="00557231" w:rsidRDefault="00557231" w:rsidP="00557231">
      <w:pPr>
        <w:pStyle w:val="Default"/>
        <w:rPr>
          <w:rFonts w:asciiTheme="minorHAnsi" w:hAnsiTheme="minorHAnsi" w:cs="Times New Roman"/>
        </w:rPr>
      </w:pPr>
    </w:p>
    <w:p w14:paraId="57067722" w14:textId="77777777" w:rsidR="000159DF" w:rsidRPr="00557231" w:rsidRDefault="000159DF" w:rsidP="00ED740A">
      <w:pPr>
        <w:pStyle w:val="Heading2"/>
      </w:pPr>
      <w:bookmarkStart w:id="5" w:name="_Laboratories"/>
      <w:bookmarkStart w:id="6" w:name="_Toc219273866"/>
      <w:bookmarkEnd w:id="5"/>
      <w:r w:rsidRPr="00557231">
        <w:t>Laboratories</w:t>
      </w:r>
      <w:bookmarkEnd w:id="6"/>
    </w:p>
    <w:p w14:paraId="2E152A32" w14:textId="49BCC4A3" w:rsidR="00A067BD" w:rsidRDefault="00A067BD" w:rsidP="00557231">
      <w:pPr>
        <w:pStyle w:val="Default"/>
        <w:rPr>
          <w:rFonts w:asciiTheme="minorHAnsi" w:hAnsiTheme="minorHAnsi"/>
        </w:rPr>
      </w:pPr>
      <w:r w:rsidRPr="00D041E2">
        <w:rPr>
          <w:rFonts w:asciiTheme="minorHAnsi" w:hAnsiTheme="minorHAnsi"/>
        </w:rPr>
        <w:t xml:space="preserve">The Provincial Laboratory shall in accordance with the Prince Edward Island </w:t>
      </w:r>
      <w:r w:rsidRPr="00D041E2">
        <w:rPr>
          <w:rFonts w:asciiTheme="minorHAnsi" w:hAnsiTheme="minorHAnsi"/>
          <w:i/>
          <w:iCs/>
        </w:rPr>
        <w:t>Public Health Act</w:t>
      </w:r>
      <w:r w:rsidRPr="00D041E2">
        <w:rPr>
          <w:rFonts w:asciiTheme="minorHAnsi" w:hAnsiTheme="minorHAnsi"/>
        </w:rPr>
        <w:t xml:space="preserve">, report all positive laboratory results by </w:t>
      </w:r>
      <w:r>
        <w:rPr>
          <w:rFonts w:asciiTheme="minorHAnsi" w:hAnsiTheme="minorHAnsi"/>
        </w:rPr>
        <w:t xml:space="preserve">phone and </w:t>
      </w:r>
      <w:r w:rsidRPr="00D041E2">
        <w:rPr>
          <w:rFonts w:asciiTheme="minorHAnsi" w:hAnsiTheme="minorHAnsi"/>
        </w:rPr>
        <w:t>mail, fax or electronic transfer as soon</w:t>
      </w:r>
      <w:r>
        <w:rPr>
          <w:rFonts w:asciiTheme="minorHAnsi" w:hAnsiTheme="minorHAnsi"/>
        </w:rPr>
        <w:t xml:space="preserve"> as the result is known to the </w:t>
      </w:r>
      <w:r w:rsidRPr="00D041E2">
        <w:rPr>
          <w:rFonts w:asciiTheme="minorHAnsi" w:hAnsiTheme="minorHAnsi"/>
        </w:rPr>
        <w:t xml:space="preserve">Chief Public Health </w:t>
      </w:r>
      <w:r>
        <w:rPr>
          <w:rFonts w:asciiTheme="minorHAnsi" w:hAnsiTheme="minorHAnsi"/>
        </w:rPr>
        <w:t>Officer (CPHO) (or designate).</w:t>
      </w:r>
    </w:p>
    <w:p w14:paraId="7D0087A4" w14:textId="77777777" w:rsidR="00880851" w:rsidRPr="00880851" w:rsidRDefault="00880851" w:rsidP="00880851">
      <w:pPr>
        <w:pStyle w:val="Default"/>
        <w:ind w:left="1080"/>
        <w:rPr>
          <w:rFonts w:ascii="Times Roman" w:hAnsi="Times Roman"/>
        </w:rPr>
      </w:pPr>
    </w:p>
    <w:p w14:paraId="1860A9B9" w14:textId="77777777" w:rsidR="000159DF" w:rsidRDefault="000159DF" w:rsidP="00E54545">
      <w:pPr>
        <w:pStyle w:val="Heading1"/>
      </w:pPr>
      <w:bookmarkStart w:id="7" w:name="_Toc219273867"/>
      <w:r w:rsidRPr="001E7E7E">
        <w:t>Etiology</w:t>
      </w:r>
      <w:bookmarkEnd w:id="7"/>
    </w:p>
    <w:p w14:paraId="4F5BDD85" w14:textId="250C9E74" w:rsidR="0084671C" w:rsidRPr="00C478FA" w:rsidRDefault="00513D3B" w:rsidP="000159DF">
      <w:pPr>
        <w:rPr>
          <w:rFonts w:cs="Times New Roman"/>
          <w:b/>
          <w:color w:val="FF0000"/>
          <w:szCs w:val="24"/>
        </w:rPr>
      </w:pPr>
      <w:r w:rsidRPr="00513D3B">
        <w:rPr>
          <w:rFonts w:cs="Times New Roman"/>
          <w:szCs w:val="24"/>
        </w:rPr>
        <w:t>Chlamydia is a bacterial infection caused by </w:t>
      </w:r>
      <w:r w:rsidRPr="00513D3B">
        <w:rPr>
          <w:rFonts w:cs="Times New Roman"/>
          <w:i/>
          <w:iCs/>
          <w:szCs w:val="24"/>
        </w:rPr>
        <w:t>C. trachomatis</w:t>
      </w:r>
      <w:r w:rsidRPr="00513D3B">
        <w:rPr>
          <w:rFonts w:cs="Times New Roman"/>
          <w:szCs w:val="24"/>
        </w:rPr>
        <w:t> genotypes D to K.</w:t>
      </w:r>
    </w:p>
    <w:p w14:paraId="313A1FCD" w14:textId="12E17AC2" w:rsidR="005114EB" w:rsidRDefault="000159DF" w:rsidP="003127C3">
      <w:pPr>
        <w:pStyle w:val="Heading1"/>
      </w:pPr>
      <w:bookmarkStart w:id="8" w:name="_Toc219273868"/>
      <w:r w:rsidRPr="001E7E7E">
        <w:t>Clinical Presentation</w:t>
      </w:r>
      <w:bookmarkEnd w:id="8"/>
    </w:p>
    <w:p w14:paraId="430B5E34" w14:textId="0D1149A0" w:rsidR="005114EB" w:rsidRPr="005114EB" w:rsidRDefault="005114EB" w:rsidP="005114EB">
      <w:pPr>
        <w:shd w:val="clear" w:color="auto" w:fill="FFFFFF"/>
        <w:spacing w:after="0" w:line="240" w:lineRule="auto"/>
        <w:rPr>
          <w:rFonts w:eastAsia="Times New Roman" w:cstheme="minorHAnsi"/>
          <w:color w:val="333333"/>
          <w:szCs w:val="24"/>
          <w:lang w:val="en-US"/>
        </w:rPr>
      </w:pPr>
      <w:r w:rsidRPr="005114EB">
        <w:rPr>
          <w:rFonts w:eastAsia="Times New Roman" w:cstheme="minorHAnsi"/>
          <w:color w:val="333333"/>
          <w:szCs w:val="24"/>
          <w:lang w:val="en-US"/>
        </w:rPr>
        <w:t>Approximately 50% of males and 70% of females with chlamydia infection are asymptomatic</w:t>
      </w:r>
      <w:r>
        <w:rPr>
          <w:rFonts w:eastAsia="Times New Roman" w:cstheme="minorHAnsi"/>
          <w:color w:val="333333"/>
          <w:szCs w:val="24"/>
          <w:lang w:val="en-US"/>
        </w:rPr>
        <w:t xml:space="preserve">. </w:t>
      </w:r>
      <w:r w:rsidRPr="005114EB">
        <w:rPr>
          <w:rFonts w:eastAsia="Times New Roman" w:cstheme="minorHAnsi"/>
          <w:color w:val="333333"/>
          <w:szCs w:val="24"/>
          <w:lang w:val="en-US"/>
        </w:rPr>
        <w:t xml:space="preserve"> The incubation period is usually two to three weeks but can be as long as six weeks. If not treated, chlamydia infection may persist for many months.</w:t>
      </w:r>
    </w:p>
    <w:p w14:paraId="2629D72B" w14:textId="77777777" w:rsidR="005114EB" w:rsidRPr="005114EB" w:rsidRDefault="005114EB" w:rsidP="00ED740A">
      <w:pPr>
        <w:pStyle w:val="Heading2"/>
        <w:rPr>
          <w:lang w:val="en-US"/>
        </w:rPr>
      </w:pPr>
      <w:bookmarkStart w:id="9" w:name="_Toc219273869"/>
      <w:r w:rsidRPr="005114EB">
        <w:rPr>
          <w:lang w:val="en-US"/>
        </w:rPr>
        <w:t>Chlamydia signs and symptoms</w:t>
      </w:r>
      <w:bookmarkEnd w:id="9"/>
    </w:p>
    <w:p w14:paraId="665D2FD1" w14:textId="77777777" w:rsidR="00EE3FF1" w:rsidRDefault="005114EB" w:rsidP="00EE3FF1">
      <w:pPr>
        <w:shd w:val="clear" w:color="auto" w:fill="FFFFFF"/>
        <w:spacing w:after="0" w:line="240" w:lineRule="auto"/>
        <w:rPr>
          <w:rFonts w:eastAsia="Times New Roman" w:cstheme="minorHAnsi"/>
          <w:color w:val="333333"/>
          <w:szCs w:val="24"/>
          <w:lang w:val="en-US"/>
        </w:rPr>
      </w:pPr>
      <w:r w:rsidRPr="00EE3FF1">
        <w:rPr>
          <w:rFonts w:eastAsia="Times New Roman" w:cstheme="minorHAnsi"/>
          <w:color w:val="333333"/>
          <w:szCs w:val="24"/>
          <w:lang w:val="en-US"/>
        </w:rPr>
        <w:t>In symptomatic individuals, clinical presentation often reflects the site of infection.</w:t>
      </w:r>
    </w:p>
    <w:p w14:paraId="0C2344A5" w14:textId="77777777" w:rsidR="00EE3FF1" w:rsidRPr="00EE3FF1" w:rsidRDefault="00EE3FF1" w:rsidP="00EE3FF1">
      <w:pPr>
        <w:shd w:val="clear" w:color="auto" w:fill="FFFFFF"/>
        <w:spacing w:after="0" w:line="240" w:lineRule="auto"/>
        <w:rPr>
          <w:rFonts w:eastAsia="Times New Roman" w:cstheme="minorHAnsi"/>
          <w:color w:val="333333"/>
          <w:szCs w:val="24"/>
          <w:lang w:val="en-US"/>
        </w:rPr>
      </w:pPr>
    </w:p>
    <w:p w14:paraId="6D290603" w14:textId="59D89F1E" w:rsidR="00EE3FF1" w:rsidRPr="00EE3FF1" w:rsidRDefault="005114EB" w:rsidP="00EE3FF1">
      <w:pPr>
        <w:shd w:val="clear" w:color="auto" w:fill="FFFFFF"/>
        <w:spacing w:after="0" w:line="240" w:lineRule="auto"/>
        <w:ind w:left="720"/>
        <w:rPr>
          <w:rFonts w:eastAsia="Times New Roman" w:cstheme="minorHAnsi"/>
          <w:color w:val="333333"/>
          <w:szCs w:val="24"/>
          <w:lang w:val="en-US"/>
        </w:rPr>
      </w:pPr>
      <w:r w:rsidRPr="00EE3FF1">
        <w:rPr>
          <w:rFonts w:eastAsia="Times New Roman" w:cstheme="minorHAnsi"/>
          <w:b/>
          <w:bCs/>
          <w:color w:val="333333"/>
          <w:szCs w:val="24"/>
          <w:lang w:val="en-US"/>
        </w:rPr>
        <w:t>Most common signs and symptoms (if present):</w:t>
      </w:r>
    </w:p>
    <w:p w14:paraId="65D68E73" w14:textId="4EC16ABF" w:rsidR="00EB6C24" w:rsidRPr="00EB6C24" w:rsidRDefault="005114EB" w:rsidP="00EB6C24">
      <w:pPr>
        <w:pStyle w:val="ListParagraph"/>
        <w:numPr>
          <w:ilvl w:val="0"/>
          <w:numId w:val="26"/>
        </w:numPr>
        <w:shd w:val="clear" w:color="auto" w:fill="FFFFFF"/>
        <w:spacing w:after="0" w:line="240" w:lineRule="auto"/>
        <w:rPr>
          <w:rFonts w:eastAsia="Times New Roman" w:cstheme="minorHAnsi"/>
          <w:color w:val="333333"/>
          <w:szCs w:val="24"/>
          <w:lang w:val="en-US"/>
        </w:rPr>
      </w:pPr>
      <w:r w:rsidRPr="00EB6C24">
        <w:rPr>
          <w:rFonts w:eastAsia="Times New Roman" w:cstheme="minorHAnsi"/>
          <w:color w:val="333333"/>
          <w:szCs w:val="24"/>
          <w:lang w:val="en-US"/>
        </w:rPr>
        <w:t>Dysuria</w:t>
      </w:r>
    </w:p>
    <w:p w14:paraId="51EAB087" w14:textId="77777777" w:rsidR="00EB6C24" w:rsidRPr="00EB6C24" w:rsidRDefault="005114EB" w:rsidP="00EB6C24">
      <w:pPr>
        <w:pStyle w:val="ListParagraph"/>
        <w:numPr>
          <w:ilvl w:val="0"/>
          <w:numId w:val="26"/>
        </w:numPr>
        <w:shd w:val="clear" w:color="auto" w:fill="FFFFFF"/>
        <w:spacing w:after="0" w:line="240" w:lineRule="auto"/>
        <w:rPr>
          <w:rFonts w:eastAsia="Times New Roman" w:cstheme="minorHAnsi"/>
          <w:color w:val="333333"/>
          <w:szCs w:val="24"/>
          <w:lang w:val="en-US"/>
        </w:rPr>
      </w:pPr>
      <w:r w:rsidRPr="00EB6C24">
        <w:rPr>
          <w:rFonts w:eastAsia="Times New Roman" w:cstheme="minorHAnsi"/>
          <w:color w:val="333333"/>
          <w:szCs w:val="24"/>
          <w:lang w:val="en-US"/>
        </w:rPr>
        <w:t>Inflammation of the lining of the rectum (proctitis)</w:t>
      </w:r>
    </w:p>
    <w:p w14:paraId="1B575A99" w14:textId="5A3582E0" w:rsidR="005114EB" w:rsidRDefault="005114EB" w:rsidP="00EB6C24">
      <w:pPr>
        <w:pStyle w:val="ListParagraph"/>
        <w:numPr>
          <w:ilvl w:val="0"/>
          <w:numId w:val="26"/>
        </w:numPr>
        <w:shd w:val="clear" w:color="auto" w:fill="FFFFFF"/>
        <w:spacing w:after="0" w:line="240" w:lineRule="auto"/>
        <w:rPr>
          <w:rFonts w:eastAsia="Times New Roman" w:cstheme="minorHAnsi"/>
          <w:color w:val="333333"/>
          <w:szCs w:val="24"/>
          <w:lang w:val="en-US"/>
        </w:rPr>
      </w:pPr>
      <w:r w:rsidRPr="00EB6C24">
        <w:rPr>
          <w:rFonts w:eastAsia="Times New Roman" w:cstheme="minorHAnsi"/>
          <w:color w:val="333333"/>
          <w:szCs w:val="24"/>
          <w:lang w:val="en-US"/>
        </w:rPr>
        <w:t>Excessive tearing, discharge, inflammation, swelling or redness of the conjunctivae (conjunctivitis)</w:t>
      </w:r>
    </w:p>
    <w:p w14:paraId="3F9A6164" w14:textId="77777777" w:rsidR="00EE3FF1" w:rsidRPr="00EB6C24" w:rsidRDefault="00EE3FF1" w:rsidP="00EE3FF1">
      <w:pPr>
        <w:pStyle w:val="ListParagraph"/>
        <w:shd w:val="clear" w:color="auto" w:fill="FFFFFF"/>
        <w:spacing w:after="0" w:line="240" w:lineRule="auto"/>
        <w:ind w:left="1080"/>
        <w:rPr>
          <w:rFonts w:eastAsia="Times New Roman" w:cstheme="minorHAnsi"/>
          <w:color w:val="333333"/>
          <w:szCs w:val="24"/>
          <w:lang w:val="en-US"/>
        </w:rPr>
      </w:pPr>
    </w:p>
    <w:p w14:paraId="013B5E27" w14:textId="26EDDD15" w:rsidR="005114EB" w:rsidRPr="005114EB" w:rsidRDefault="00EB6C24" w:rsidP="00EE3FF1">
      <w:pPr>
        <w:shd w:val="clear" w:color="auto" w:fill="FFFFFF"/>
        <w:spacing w:after="0" w:line="240" w:lineRule="auto"/>
        <w:ind w:firstLine="360"/>
        <w:outlineLvl w:val="4"/>
        <w:rPr>
          <w:rFonts w:eastAsia="Times New Roman" w:cstheme="minorHAnsi"/>
          <w:b/>
          <w:bCs/>
          <w:color w:val="333333"/>
          <w:szCs w:val="24"/>
          <w:lang w:val="en-US"/>
        </w:rPr>
      </w:pPr>
      <w:r>
        <w:rPr>
          <w:rFonts w:eastAsia="Times New Roman" w:cstheme="minorHAnsi"/>
          <w:b/>
          <w:bCs/>
          <w:color w:val="333333"/>
          <w:szCs w:val="24"/>
          <w:lang w:val="en-US"/>
        </w:rPr>
        <w:t>People with femal</w:t>
      </w:r>
      <w:r w:rsidR="005114EB" w:rsidRPr="005114EB">
        <w:rPr>
          <w:rFonts w:eastAsia="Times New Roman" w:cstheme="minorHAnsi"/>
          <w:b/>
          <w:bCs/>
          <w:color w:val="333333"/>
          <w:szCs w:val="24"/>
          <w:lang w:val="en-US"/>
        </w:rPr>
        <w:t>e</w:t>
      </w:r>
      <w:r>
        <w:rPr>
          <w:rFonts w:eastAsia="Times New Roman" w:cstheme="minorHAnsi"/>
          <w:b/>
          <w:bCs/>
          <w:color w:val="333333"/>
          <w:szCs w:val="24"/>
          <w:lang w:val="en-US"/>
        </w:rPr>
        <w:t xml:space="preserve"> genetalia</w:t>
      </w:r>
      <w:r w:rsidR="005114EB" w:rsidRPr="005114EB">
        <w:rPr>
          <w:rFonts w:eastAsia="Times New Roman" w:cstheme="minorHAnsi"/>
          <w:b/>
          <w:bCs/>
          <w:color w:val="333333"/>
          <w:szCs w:val="24"/>
          <w:lang w:val="en-US"/>
        </w:rPr>
        <w:t>:</w:t>
      </w:r>
    </w:p>
    <w:p w14:paraId="79A03613" w14:textId="77777777" w:rsidR="0084226F" w:rsidRDefault="005114EB" w:rsidP="00EE3FF1">
      <w:pPr>
        <w:pStyle w:val="ListParagraph"/>
        <w:numPr>
          <w:ilvl w:val="0"/>
          <w:numId w:val="29"/>
        </w:numPr>
        <w:shd w:val="clear" w:color="auto" w:fill="FFFFFF"/>
        <w:spacing w:after="0"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Purulent or mucopurulent exudate in the endocervical canal or easily induced/sustained bleeding or friability at the endocervical os (cervicitis)</w:t>
      </w:r>
    </w:p>
    <w:p w14:paraId="5455CBE1" w14:textId="77777777" w:rsidR="0084226F" w:rsidRDefault="005114EB" w:rsidP="0084226F">
      <w:pPr>
        <w:pStyle w:val="ListParagraph"/>
        <w:numPr>
          <w:ilvl w:val="0"/>
          <w:numId w:val="29"/>
        </w:numPr>
        <w:shd w:val="clear" w:color="auto" w:fill="FFFFFF"/>
        <w:spacing w:before="100" w:beforeAutospacing="1" w:after="100" w:afterAutospacing="1"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Change in vaginal discharge</w:t>
      </w:r>
    </w:p>
    <w:p w14:paraId="51443A59" w14:textId="77777777" w:rsidR="0084226F" w:rsidRDefault="005114EB" w:rsidP="0084226F">
      <w:pPr>
        <w:pStyle w:val="ListParagraph"/>
        <w:numPr>
          <w:ilvl w:val="0"/>
          <w:numId w:val="29"/>
        </w:numPr>
        <w:shd w:val="clear" w:color="auto" w:fill="FFFFFF"/>
        <w:spacing w:before="100" w:beforeAutospacing="1" w:after="100" w:afterAutospacing="1"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Lower abdominal pain</w:t>
      </w:r>
    </w:p>
    <w:p w14:paraId="5FE912CF" w14:textId="77777777" w:rsidR="0084226F" w:rsidRDefault="005114EB" w:rsidP="0084226F">
      <w:pPr>
        <w:pStyle w:val="ListParagraph"/>
        <w:numPr>
          <w:ilvl w:val="0"/>
          <w:numId w:val="29"/>
        </w:numPr>
        <w:shd w:val="clear" w:color="auto" w:fill="FFFFFF"/>
        <w:spacing w:before="100" w:beforeAutospacing="1" w:after="100" w:afterAutospacing="1"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Abnormal vaginal bleeding</w:t>
      </w:r>
    </w:p>
    <w:p w14:paraId="18ACD552" w14:textId="27F0E760" w:rsidR="005114EB" w:rsidRPr="0084226F" w:rsidRDefault="005114EB" w:rsidP="0084226F">
      <w:pPr>
        <w:pStyle w:val="ListParagraph"/>
        <w:numPr>
          <w:ilvl w:val="0"/>
          <w:numId w:val="29"/>
        </w:numPr>
        <w:shd w:val="clear" w:color="auto" w:fill="FFFFFF"/>
        <w:spacing w:before="100" w:beforeAutospacing="1" w:after="100" w:afterAutospacing="1"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Dyspareunia</w:t>
      </w:r>
    </w:p>
    <w:p w14:paraId="39805A98" w14:textId="0418821B" w:rsidR="005114EB" w:rsidRPr="005114EB" w:rsidRDefault="0084226F" w:rsidP="00EE3FF1">
      <w:pPr>
        <w:shd w:val="clear" w:color="auto" w:fill="FFFFFF"/>
        <w:spacing w:after="0" w:line="240" w:lineRule="auto"/>
        <w:ind w:firstLine="360"/>
        <w:outlineLvl w:val="4"/>
        <w:rPr>
          <w:rFonts w:eastAsia="Times New Roman" w:cstheme="minorHAnsi"/>
          <w:b/>
          <w:bCs/>
          <w:color w:val="333333"/>
          <w:szCs w:val="24"/>
          <w:lang w:val="en-US"/>
        </w:rPr>
      </w:pPr>
      <w:r>
        <w:rPr>
          <w:rFonts w:eastAsia="Times New Roman" w:cstheme="minorHAnsi"/>
          <w:b/>
          <w:bCs/>
          <w:color w:val="333333"/>
          <w:szCs w:val="24"/>
          <w:lang w:val="en-US"/>
        </w:rPr>
        <w:t>People with m</w:t>
      </w:r>
      <w:r w:rsidR="005114EB" w:rsidRPr="005114EB">
        <w:rPr>
          <w:rFonts w:eastAsia="Times New Roman" w:cstheme="minorHAnsi"/>
          <w:b/>
          <w:bCs/>
          <w:color w:val="333333"/>
          <w:szCs w:val="24"/>
          <w:lang w:val="en-US"/>
        </w:rPr>
        <w:t>ale</w:t>
      </w:r>
      <w:r>
        <w:rPr>
          <w:rFonts w:eastAsia="Times New Roman" w:cstheme="minorHAnsi"/>
          <w:b/>
          <w:bCs/>
          <w:color w:val="333333"/>
          <w:szCs w:val="24"/>
          <w:lang w:val="en-US"/>
        </w:rPr>
        <w:t xml:space="preserve"> genetalia</w:t>
      </w:r>
      <w:r w:rsidR="005114EB" w:rsidRPr="005114EB">
        <w:rPr>
          <w:rFonts w:eastAsia="Times New Roman" w:cstheme="minorHAnsi"/>
          <w:b/>
          <w:bCs/>
          <w:color w:val="333333"/>
          <w:szCs w:val="24"/>
          <w:lang w:val="en-US"/>
        </w:rPr>
        <w:t>:</w:t>
      </w:r>
    </w:p>
    <w:p w14:paraId="315E5A6B" w14:textId="77777777" w:rsidR="0084226F" w:rsidRDefault="005114EB" w:rsidP="00EE3FF1">
      <w:pPr>
        <w:pStyle w:val="ListParagraph"/>
        <w:numPr>
          <w:ilvl w:val="0"/>
          <w:numId w:val="30"/>
        </w:numPr>
        <w:shd w:val="clear" w:color="auto" w:fill="FFFFFF"/>
        <w:spacing w:after="0"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Urethral discharge</w:t>
      </w:r>
    </w:p>
    <w:p w14:paraId="7846BAAE" w14:textId="77777777" w:rsidR="0084226F" w:rsidRDefault="005114EB" w:rsidP="00EE3FF1">
      <w:pPr>
        <w:pStyle w:val="ListParagraph"/>
        <w:numPr>
          <w:ilvl w:val="0"/>
          <w:numId w:val="30"/>
        </w:numPr>
        <w:shd w:val="clear" w:color="auto" w:fill="FFFFFF"/>
        <w:spacing w:after="0"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Inflammation of the urethra, with or without urethral discharge (urethritis)</w:t>
      </w:r>
    </w:p>
    <w:p w14:paraId="1AFF22E0" w14:textId="77777777" w:rsidR="0084226F" w:rsidRDefault="005114EB" w:rsidP="0084226F">
      <w:pPr>
        <w:pStyle w:val="ListParagraph"/>
        <w:numPr>
          <w:ilvl w:val="0"/>
          <w:numId w:val="30"/>
        </w:numPr>
        <w:shd w:val="clear" w:color="auto" w:fill="FFFFFF"/>
        <w:spacing w:before="100" w:beforeAutospacing="1" w:after="100" w:afterAutospacing="1"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Urethral itch</w:t>
      </w:r>
    </w:p>
    <w:p w14:paraId="3DC56722" w14:textId="0878BD34" w:rsidR="005114EB" w:rsidRPr="0084226F" w:rsidRDefault="005114EB" w:rsidP="0084226F">
      <w:pPr>
        <w:pStyle w:val="ListParagraph"/>
        <w:numPr>
          <w:ilvl w:val="0"/>
          <w:numId w:val="30"/>
        </w:numPr>
        <w:shd w:val="clear" w:color="auto" w:fill="FFFFFF"/>
        <w:spacing w:before="100" w:beforeAutospacing="1" w:after="100" w:afterAutospacing="1" w:line="240" w:lineRule="auto"/>
        <w:ind w:left="1080"/>
        <w:rPr>
          <w:rFonts w:eastAsia="Times New Roman" w:cstheme="minorHAnsi"/>
          <w:color w:val="333333"/>
          <w:szCs w:val="24"/>
          <w:lang w:val="en-US"/>
        </w:rPr>
      </w:pPr>
      <w:r w:rsidRPr="0084226F">
        <w:rPr>
          <w:rFonts w:eastAsia="Times New Roman" w:cstheme="minorHAnsi"/>
          <w:color w:val="333333"/>
          <w:szCs w:val="24"/>
          <w:lang w:val="en-US"/>
        </w:rPr>
        <w:t>Testicular pain</w:t>
      </w:r>
    </w:p>
    <w:p w14:paraId="59125BB1" w14:textId="449E0923" w:rsidR="005114EB" w:rsidRPr="005114EB" w:rsidRDefault="00660598" w:rsidP="00EE3FF1">
      <w:pPr>
        <w:shd w:val="clear" w:color="auto" w:fill="FFFFFF"/>
        <w:spacing w:after="0" w:line="240" w:lineRule="auto"/>
        <w:ind w:firstLine="360"/>
        <w:outlineLvl w:val="4"/>
        <w:rPr>
          <w:rFonts w:eastAsia="Times New Roman" w:cstheme="minorHAnsi"/>
          <w:b/>
          <w:bCs/>
          <w:color w:val="333333"/>
          <w:szCs w:val="24"/>
          <w:lang w:val="en-US"/>
        </w:rPr>
      </w:pPr>
      <w:r>
        <w:rPr>
          <w:rFonts w:eastAsia="Times New Roman" w:cstheme="minorHAnsi"/>
          <w:b/>
          <w:bCs/>
          <w:color w:val="333333"/>
          <w:szCs w:val="24"/>
          <w:lang w:val="en-US"/>
        </w:rPr>
        <w:t xml:space="preserve"> </w:t>
      </w:r>
      <w:r w:rsidR="005114EB" w:rsidRPr="005114EB">
        <w:rPr>
          <w:rFonts w:eastAsia="Times New Roman" w:cstheme="minorHAnsi"/>
          <w:b/>
          <w:bCs/>
          <w:color w:val="333333"/>
          <w:szCs w:val="24"/>
          <w:lang w:val="en-US"/>
        </w:rPr>
        <w:t>Neonates and infants:</w:t>
      </w:r>
    </w:p>
    <w:p w14:paraId="6025F790" w14:textId="77777777" w:rsidR="00660598" w:rsidRDefault="005114EB" w:rsidP="00EE3FF1">
      <w:pPr>
        <w:pStyle w:val="ListParagraph"/>
        <w:numPr>
          <w:ilvl w:val="0"/>
          <w:numId w:val="31"/>
        </w:numPr>
        <w:shd w:val="clear" w:color="auto" w:fill="FFFFFF"/>
        <w:spacing w:after="0" w:line="240" w:lineRule="auto"/>
        <w:ind w:left="1080"/>
        <w:rPr>
          <w:rFonts w:eastAsia="Times New Roman" w:cstheme="minorHAnsi"/>
          <w:color w:val="333333"/>
          <w:szCs w:val="24"/>
          <w:lang w:val="en-US"/>
        </w:rPr>
      </w:pPr>
      <w:r w:rsidRPr="00660598">
        <w:rPr>
          <w:rFonts w:eastAsia="Times New Roman" w:cstheme="minorHAnsi"/>
          <w:color w:val="333333"/>
          <w:szCs w:val="24"/>
          <w:lang w:val="en-US"/>
        </w:rPr>
        <w:t>Excessive tearing, discharge, inflammation, swelling or redness of the conjunctivae (conjunctivitis) (in neonates)</w:t>
      </w:r>
    </w:p>
    <w:p w14:paraId="76FFC80C" w14:textId="77777777" w:rsidR="003127C3" w:rsidRPr="003127C3" w:rsidRDefault="005114EB" w:rsidP="005114EB">
      <w:pPr>
        <w:pStyle w:val="ListParagraph"/>
        <w:numPr>
          <w:ilvl w:val="0"/>
          <w:numId w:val="31"/>
        </w:numPr>
        <w:shd w:val="clear" w:color="auto" w:fill="FFFFFF"/>
        <w:spacing w:before="390" w:beforeAutospacing="1" w:after="173" w:afterAutospacing="1" w:line="240" w:lineRule="auto"/>
        <w:ind w:left="1080"/>
        <w:outlineLvl w:val="3"/>
        <w:rPr>
          <w:rFonts w:eastAsia="Times New Roman" w:cstheme="minorHAnsi"/>
          <w:b/>
          <w:bCs/>
          <w:color w:val="333333"/>
          <w:szCs w:val="24"/>
          <w:lang w:val="en-US"/>
        </w:rPr>
      </w:pPr>
      <w:r w:rsidRPr="003127C3">
        <w:rPr>
          <w:rFonts w:eastAsia="Times New Roman" w:cstheme="minorHAnsi"/>
          <w:color w:val="333333"/>
          <w:szCs w:val="24"/>
          <w:lang w:val="en-US"/>
        </w:rPr>
        <w:t xml:space="preserve">Pneumonia (infants less than six months) </w:t>
      </w:r>
    </w:p>
    <w:p w14:paraId="45C41180" w14:textId="1EE94B70" w:rsidR="005114EB" w:rsidRDefault="005114EB" w:rsidP="003127C3">
      <w:pPr>
        <w:shd w:val="clear" w:color="auto" w:fill="FFFFFF"/>
        <w:spacing w:after="0" w:line="240" w:lineRule="auto"/>
        <w:outlineLvl w:val="3"/>
        <w:rPr>
          <w:rFonts w:eastAsia="Times New Roman" w:cstheme="minorHAnsi"/>
          <w:b/>
          <w:bCs/>
          <w:color w:val="333333"/>
          <w:szCs w:val="24"/>
          <w:lang w:val="en-US"/>
        </w:rPr>
      </w:pPr>
      <w:r w:rsidRPr="003127C3">
        <w:rPr>
          <w:rFonts w:eastAsia="Times New Roman" w:cstheme="minorHAnsi"/>
          <w:b/>
          <w:bCs/>
          <w:color w:val="333333"/>
          <w:szCs w:val="24"/>
          <w:lang w:val="en-US"/>
        </w:rPr>
        <w:t>Complications of chlamydia infections</w:t>
      </w:r>
    </w:p>
    <w:p w14:paraId="32B4B569" w14:textId="77777777" w:rsidR="003127C3" w:rsidRPr="003127C3" w:rsidRDefault="003127C3" w:rsidP="003127C3">
      <w:pPr>
        <w:shd w:val="clear" w:color="auto" w:fill="FFFFFF"/>
        <w:spacing w:after="0" w:line="240" w:lineRule="auto"/>
        <w:outlineLvl w:val="3"/>
        <w:rPr>
          <w:rFonts w:eastAsia="Times New Roman" w:cstheme="minorHAnsi"/>
          <w:b/>
          <w:bCs/>
          <w:color w:val="333333"/>
          <w:szCs w:val="24"/>
          <w:lang w:val="en-US"/>
        </w:rPr>
      </w:pPr>
    </w:p>
    <w:p w14:paraId="0DE04753" w14:textId="77777777" w:rsidR="005114EB" w:rsidRDefault="005114EB" w:rsidP="003127C3">
      <w:pPr>
        <w:shd w:val="clear" w:color="auto" w:fill="FFFFFF"/>
        <w:spacing w:after="0" w:line="240" w:lineRule="auto"/>
        <w:rPr>
          <w:rFonts w:eastAsia="Times New Roman" w:cstheme="minorHAnsi"/>
          <w:color w:val="333333"/>
          <w:szCs w:val="24"/>
          <w:lang w:val="en-US"/>
        </w:rPr>
      </w:pPr>
      <w:r w:rsidRPr="005114EB">
        <w:rPr>
          <w:rFonts w:eastAsia="Times New Roman" w:cstheme="minorHAnsi"/>
          <w:color w:val="333333"/>
          <w:szCs w:val="24"/>
          <w:lang w:val="en-US"/>
        </w:rPr>
        <w:t>If not adequately treated, chlamydia can spread from a local site of inoculation and lead to serious complications and/or sequelae.</w:t>
      </w:r>
    </w:p>
    <w:p w14:paraId="77E24B75" w14:textId="77777777" w:rsidR="003127C3" w:rsidRPr="005114EB" w:rsidRDefault="003127C3" w:rsidP="003127C3">
      <w:pPr>
        <w:shd w:val="clear" w:color="auto" w:fill="FFFFFF"/>
        <w:spacing w:after="0" w:line="240" w:lineRule="auto"/>
        <w:rPr>
          <w:rFonts w:eastAsia="Times New Roman" w:cstheme="minorHAnsi"/>
          <w:color w:val="333333"/>
          <w:szCs w:val="24"/>
          <w:lang w:val="en-US"/>
        </w:rPr>
      </w:pPr>
    </w:p>
    <w:p w14:paraId="3F80EAD1" w14:textId="3D027C52" w:rsidR="00660598" w:rsidRDefault="002051B9" w:rsidP="002051B9">
      <w:pPr>
        <w:shd w:val="clear" w:color="auto" w:fill="FFFFFF"/>
        <w:tabs>
          <w:tab w:val="left" w:pos="720"/>
          <w:tab w:val="left" w:pos="1080"/>
        </w:tabs>
        <w:spacing w:after="0" w:line="240" w:lineRule="auto"/>
        <w:outlineLvl w:val="4"/>
        <w:rPr>
          <w:rFonts w:eastAsia="Times New Roman" w:cstheme="minorHAnsi"/>
          <w:b/>
          <w:bCs/>
          <w:color w:val="333333"/>
          <w:szCs w:val="24"/>
          <w:lang w:val="en-US"/>
        </w:rPr>
      </w:pPr>
      <w:r>
        <w:rPr>
          <w:rFonts w:eastAsia="Times New Roman" w:cstheme="minorHAnsi"/>
          <w:b/>
          <w:bCs/>
          <w:color w:val="333333"/>
          <w:szCs w:val="24"/>
          <w:lang w:val="en-US"/>
        </w:rPr>
        <w:lastRenderedPageBreak/>
        <w:t xml:space="preserve">     </w:t>
      </w:r>
      <w:r w:rsidR="00660598">
        <w:rPr>
          <w:rFonts w:eastAsia="Times New Roman" w:cstheme="minorHAnsi"/>
          <w:b/>
          <w:bCs/>
          <w:color w:val="333333"/>
          <w:szCs w:val="24"/>
          <w:lang w:val="en-US"/>
        </w:rPr>
        <w:t>People with female genetalia:</w:t>
      </w:r>
    </w:p>
    <w:p w14:paraId="066FE5E8" w14:textId="77777777" w:rsidR="00660598" w:rsidRDefault="00660598" w:rsidP="003127C3">
      <w:pPr>
        <w:pStyle w:val="ListParagraph"/>
        <w:numPr>
          <w:ilvl w:val="0"/>
          <w:numId w:val="31"/>
        </w:numPr>
        <w:shd w:val="clear" w:color="auto" w:fill="FFFFFF"/>
        <w:spacing w:after="0" w:line="240" w:lineRule="auto"/>
        <w:ind w:left="1080"/>
        <w:rPr>
          <w:rFonts w:eastAsia="Times New Roman" w:cstheme="minorHAnsi"/>
          <w:color w:val="333333"/>
          <w:szCs w:val="24"/>
          <w:lang w:val="en-US"/>
        </w:rPr>
      </w:pPr>
      <w:r w:rsidRPr="00660598">
        <w:rPr>
          <w:rFonts w:eastAsia="Times New Roman" w:cstheme="minorHAnsi"/>
          <w:color w:val="333333"/>
          <w:szCs w:val="24"/>
          <w:lang w:val="en-US"/>
        </w:rPr>
        <w:t>Pelvic inflammatory disease (PID)</w:t>
      </w:r>
    </w:p>
    <w:p w14:paraId="0DD3A17E" w14:textId="77777777" w:rsidR="00660598" w:rsidRDefault="00660598" w:rsidP="00660598">
      <w:pPr>
        <w:pStyle w:val="ListParagraph"/>
        <w:numPr>
          <w:ilvl w:val="0"/>
          <w:numId w:val="31"/>
        </w:numPr>
        <w:shd w:val="clear" w:color="auto" w:fill="FFFFFF"/>
        <w:spacing w:before="100" w:beforeAutospacing="1" w:after="100" w:afterAutospacing="1" w:line="240" w:lineRule="auto"/>
        <w:ind w:left="1080"/>
        <w:rPr>
          <w:rFonts w:eastAsia="Times New Roman" w:cstheme="minorHAnsi"/>
          <w:color w:val="333333"/>
          <w:szCs w:val="24"/>
          <w:lang w:val="en-US"/>
        </w:rPr>
      </w:pPr>
      <w:r w:rsidRPr="00660598">
        <w:rPr>
          <w:rFonts w:eastAsia="Times New Roman" w:cstheme="minorHAnsi"/>
          <w:color w:val="333333"/>
          <w:szCs w:val="24"/>
          <w:lang w:val="en-US"/>
        </w:rPr>
        <w:t>Ectopic pregnancy</w:t>
      </w:r>
    </w:p>
    <w:p w14:paraId="0AE718B2" w14:textId="77777777" w:rsidR="00660598" w:rsidRDefault="00660598" w:rsidP="00660598">
      <w:pPr>
        <w:pStyle w:val="ListParagraph"/>
        <w:numPr>
          <w:ilvl w:val="0"/>
          <w:numId w:val="31"/>
        </w:numPr>
        <w:shd w:val="clear" w:color="auto" w:fill="FFFFFF"/>
        <w:spacing w:before="100" w:beforeAutospacing="1" w:after="100" w:afterAutospacing="1" w:line="240" w:lineRule="auto"/>
        <w:ind w:left="1080"/>
        <w:rPr>
          <w:rFonts w:eastAsia="Times New Roman" w:cstheme="minorHAnsi"/>
          <w:color w:val="333333"/>
          <w:szCs w:val="24"/>
          <w:lang w:val="en-US"/>
        </w:rPr>
      </w:pPr>
      <w:r w:rsidRPr="00660598">
        <w:rPr>
          <w:rFonts w:eastAsia="Times New Roman" w:cstheme="minorHAnsi"/>
          <w:color w:val="333333"/>
          <w:szCs w:val="24"/>
          <w:lang w:val="en-US"/>
        </w:rPr>
        <w:t>Infertility</w:t>
      </w:r>
    </w:p>
    <w:p w14:paraId="5EAB27CC" w14:textId="77777777" w:rsidR="00660598" w:rsidRDefault="00660598" w:rsidP="00660598">
      <w:pPr>
        <w:pStyle w:val="ListParagraph"/>
        <w:numPr>
          <w:ilvl w:val="0"/>
          <w:numId w:val="31"/>
        </w:numPr>
        <w:shd w:val="clear" w:color="auto" w:fill="FFFFFF"/>
        <w:spacing w:before="100" w:beforeAutospacing="1" w:after="100" w:afterAutospacing="1" w:line="240" w:lineRule="auto"/>
        <w:ind w:left="1080"/>
        <w:rPr>
          <w:rFonts w:eastAsia="Times New Roman" w:cstheme="minorHAnsi"/>
          <w:color w:val="333333"/>
          <w:szCs w:val="24"/>
          <w:lang w:val="en-US"/>
        </w:rPr>
      </w:pPr>
      <w:r w:rsidRPr="00660598">
        <w:rPr>
          <w:rFonts w:eastAsia="Times New Roman" w:cstheme="minorHAnsi"/>
          <w:color w:val="333333"/>
          <w:szCs w:val="24"/>
          <w:lang w:val="en-US"/>
        </w:rPr>
        <w:t>Chronic pelvic pain</w:t>
      </w:r>
    </w:p>
    <w:p w14:paraId="2C30E937" w14:textId="35D018F5" w:rsidR="00660598" w:rsidRPr="00660598" w:rsidRDefault="00660598" w:rsidP="00660598">
      <w:pPr>
        <w:pStyle w:val="ListParagraph"/>
        <w:numPr>
          <w:ilvl w:val="0"/>
          <w:numId w:val="31"/>
        </w:numPr>
        <w:shd w:val="clear" w:color="auto" w:fill="FFFFFF"/>
        <w:spacing w:before="100" w:beforeAutospacing="1" w:after="100" w:afterAutospacing="1" w:line="240" w:lineRule="auto"/>
        <w:ind w:left="1080"/>
        <w:rPr>
          <w:rFonts w:eastAsia="Times New Roman" w:cstheme="minorHAnsi"/>
          <w:color w:val="333333"/>
          <w:szCs w:val="24"/>
          <w:lang w:val="en-US"/>
        </w:rPr>
      </w:pPr>
      <w:r w:rsidRPr="00660598">
        <w:rPr>
          <w:rFonts w:eastAsia="Times New Roman" w:cstheme="minorHAnsi"/>
          <w:color w:val="333333"/>
          <w:szCs w:val="24"/>
          <w:lang w:val="en-US"/>
        </w:rPr>
        <w:t xml:space="preserve">Reactive arthritis </w:t>
      </w:r>
    </w:p>
    <w:p w14:paraId="68AC2E33" w14:textId="1612CFE6" w:rsidR="00660598" w:rsidRDefault="002051B9" w:rsidP="00660598">
      <w:pPr>
        <w:shd w:val="clear" w:color="auto" w:fill="FFFFFF"/>
        <w:spacing w:after="0" w:line="240" w:lineRule="auto"/>
        <w:outlineLvl w:val="4"/>
        <w:rPr>
          <w:rFonts w:eastAsia="Times New Roman" w:cstheme="minorHAnsi"/>
          <w:b/>
          <w:bCs/>
          <w:color w:val="333333"/>
          <w:szCs w:val="24"/>
          <w:lang w:val="en-US"/>
        </w:rPr>
      </w:pPr>
      <w:r>
        <w:rPr>
          <w:rFonts w:eastAsia="Times New Roman" w:cstheme="minorHAnsi"/>
          <w:b/>
          <w:bCs/>
          <w:color w:val="333333"/>
          <w:szCs w:val="24"/>
          <w:lang w:val="en-US"/>
        </w:rPr>
        <w:t xml:space="preserve">     </w:t>
      </w:r>
      <w:r w:rsidR="00660598">
        <w:rPr>
          <w:rFonts w:eastAsia="Times New Roman" w:cstheme="minorHAnsi"/>
          <w:b/>
          <w:bCs/>
          <w:color w:val="333333"/>
          <w:szCs w:val="24"/>
          <w:lang w:val="en-US"/>
        </w:rPr>
        <w:t>People with Male genetalia:</w:t>
      </w:r>
    </w:p>
    <w:p w14:paraId="603E95BF" w14:textId="77777777" w:rsidR="00660598" w:rsidRPr="00660598" w:rsidRDefault="005114EB" w:rsidP="00660598">
      <w:pPr>
        <w:pStyle w:val="ListParagraph"/>
        <w:numPr>
          <w:ilvl w:val="0"/>
          <w:numId w:val="33"/>
        </w:numPr>
        <w:shd w:val="clear" w:color="auto" w:fill="FFFFFF"/>
        <w:spacing w:after="0" w:line="240" w:lineRule="auto"/>
        <w:ind w:left="1080"/>
        <w:outlineLvl w:val="4"/>
        <w:rPr>
          <w:rFonts w:eastAsia="Times New Roman" w:cstheme="minorHAnsi"/>
          <w:b/>
          <w:bCs/>
          <w:color w:val="333333"/>
          <w:szCs w:val="24"/>
          <w:lang w:val="en-US"/>
        </w:rPr>
      </w:pPr>
      <w:r w:rsidRPr="00660598">
        <w:rPr>
          <w:rFonts w:eastAsia="Times New Roman" w:cstheme="minorHAnsi"/>
          <w:color w:val="333333"/>
          <w:szCs w:val="24"/>
          <w:lang w:val="en-US"/>
        </w:rPr>
        <w:t>Epididymo-orchitis</w:t>
      </w:r>
    </w:p>
    <w:p w14:paraId="1DAEC2D2" w14:textId="6FD97022" w:rsidR="005114EB" w:rsidRPr="009C5A12" w:rsidRDefault="005114EB" w:rsidP="003127C3">
      <w:pPr>
        <w:pStyle w:val="ListParagraph"/>
        <w:numPr>
          <w:ilvl w:val="0"/>
          <w:numId w:val="33"/>
        </w:numPr>
        <w:shd w:val="clear" w:color="auto" w:fill="FFFFFF"/>
        <w:spacing w:before="345" w:after="173" w:line="240" w:lineRule="auto"/>
        <w:ind w:left="1080"/>
        <w:outlineLvl w:val="4"/>
        <w:rPr>
          <w:rFonts w:eastAsia="Times New Roman" w:cstheme="minorHAnsi"/>
          <w:b/>
          <w:bCs/>
          <w:color w:val="333333"/>
          <w:szCs w:val="24"/>
          <w:lang w:val="en-US"/>
        </w:rPr>
      </w:pPr>
      <w:r w:rsidRPr="00660598">
        <w:rPr>
          <w:rFonts w:eastAsia="Times New Roman" w:cstheme="minorHAnsi"/>
          <w:color w:val="333333"/>
          <w:szCs w:val="24"/>
          <w:lang w:val="en-US"/>
        </w:rPr>
        <w:t>Reactive arthritis</w:t>
      </w:r>
    </w:p>
    <w:p w14:paraId="7CB4BF8A" w14:textId="2E9F3F3C" w:rsidR="00157672" w:rsidRPr="00C67A2A" w:rsidRDefault="00C67A2A" w:rsidP="00C67A2A">
      <w:pPr>
        <w:pStyle w:val="Heading1"/>
      </w:pPr>
      <w:bookmarkStart w:id="10" w:name="_Toc219273870"/>
      <w:r>
        <w:t>Diagnosis/Testing</w:t>
      </w:r>
      <w:bookmarkEnd w:id="10"/>
    </w:p>
    <w:p w14:paraId="37BDD70D" w14:textId="682C0B27" w:rsidR="00513D3B" w:rsidRDefault="0084671C" w:rsidP="00157672">
      <w:pPr>
        <w:spacing w:after="0" w:line="240" w:lineRule="auto"/>
        <w:ind w:left="360"/>
      </w:pPr>
      <w:r w:rsidRPr="0084671C">
        <w:t>Diagnosis is made based on history, physical examination, and laboratory investigation. The diagnosis is confirmed by examination of genitourinary, rectal or conjunctival samples by culture</w:t>
      </w:r>
      <w:r w:rsidR="009C4C60">
        <w:t xml:space="preserve"> or</w:t>
      </w:r>
      <w:r w:rsidRPr="0084671C">
        <w:t xml:space="preserve"> molecular diagnostic tests. </w:t>
      </w:r>
    </w:p>
    <w:p w14:paraId="4506CC49" w14:textId="77777777" w:rsidR="00157672" w:rsidRPr="00157672" w:rsidRDefault="00157672" w:rsidP="00157672">
      <w:pPr>
        <w:spacing w:after="0" w:line="240" w:lineRule="auto"/>
        <w:rPr>
          <w:b/>
          <w:bCs/>
        </w:rPr>
      </w:pPr>
    </w:p>
    <w:p w14:paraId="5015CDC6" w14:textId="702788F3" w:rsidR="00660D91" w:rsidRPr="00660D91" w:rsidRDefault="00660D91" w:rsidP="00157672">
      <w:pPr>
        <w:spacing w:after="0"/>
        <w:ind w:firstLine="360"/>
        <w:rPr>
          <w:b/>
        </w:rPr>
      </w:pPr>
      <w:r w:rsidRPr="00660D91">
        <w:rPr>
          <w:b/>
        </w:rPr>
        <w:t>Specimens</w:t>
      </w:r>
    </w:p>
    <w:p w14:paraId="6F841372" w14:textId="77777777" w:rsidR="00220D80" w:rsidRDefault="00220D80" w:rsidP="00157672">
      <w:pPr>
        <w:spacing w:after="0"/>
        <w:ind w:firstLine="360"/>
      </w:pPr>
      <w:r>
        <w:t>Acceptable s</w:t>
      </w:r>
      <w:r w:rsidR="00AD1A9A">
        <w:t>pecimens for genitourinary infections include</w:t>
      </w:r>
      <w:r>
        <w:t xml:space="preserve">: </w:t>
      </w:r>
    </w:p>
    <w:p w14:paraId="4592CA44" w14:textId="3C8BA36A" w:rsidR="003127C3" w:rsidRDefault="00A17F9C" w:rsidP="00157672">
      <w:pPr>
        <w:pStyle w:val="ListParagraph"/>
        <w:numPr>
          <w:ilvl w:val="0"/>
          <w:numId w:val="9"/>
        </w:numPr>
      </w:pPr>
      <w:r>
        <w:t xml:space="preserve">For </w:t>
      </w:r>
      <w:r w:rsidR="00220D80">
        <w:t>m</w:t>
      </w:r>
      <w:r>
        <w:t>ale genitalia</w:t>
      </w:r>
      <w:r w:rsidR="00220D80">
        <w:t xml:space="preserve"> – first stream urine.</w:t>
      </w:r>
      <w:r w:rsidR="00AD1A9A">
        <w:t xml:space="preserve"> </w:t>
      </w:r>
      <w:r w:rsidR="009372CE">
        <w:t>Urethral swab testing is not available in PEI.</w:t>
      </w:r>
    </w:p>
    <w:p w14:paraId="6E706E44" w14:textId="5408E662" w:rsidR="003127C3" w:rsidRPr="003127C3" w:rsidRDefault="00A17F9C" w:rsidP="003127C3">
      <w:pPr>
        <w:pStyle w:val="ListParagraph"/>
        <w:numPr>
          <w:ilvl w:val="0"/>
          <w:numId w:val="9"/>
        </w:numPr>
        <w:rPr>
          <w:lang w:val="en-US"/>
        </w:rPr>
      </w:pPr>
      <w:r w:rsidRPr="003127C3">
        <w:t>For female genitalia</w:t>
      </w:r>
      <w:r w:rsidR="00220D80" w:rsidRPr="003127C3">
        <w:t>–clinician collected</w:t>
      </w:r>
      <w:r w:rsidR="00B42A04" w:rsidRPr="003127C3">
        <w:t xml:space="preserve"> endocervial or</w:t>
      </w:r>
      <w:r w:rsidR="00220D80" w:rsidRPr="003127C3">
        <w:t xml:space="preserve"> </w:t>
      </w:r>
      <w:r w:rsidR="009C4C60" w:rsidRPr="003127C3">
        <w:t xml:space="preserve">vaginal </w:t>
      </w:r>
      <w:r w:rsidR="00220D80" w:rsidRPr="003127C3">
        <w:t>swab</w:t>
      </w:r>
      <w:r w:rsidR="00B42A04" w:rsidRPr="003127C3">
        <w:t>, or self-collected vaginal swab</w:t>
      </w:r>
      <w:r w:rsidR="00513D3B" w:rsidRPr="003127C3">
        <w:t xml:space="preserve">. </w:t>
      </w:r>
      <w:r w:rsidR="00220D80" w:rsidRPr="003127C3">
        <w:t>Urine c</w:t>
      </w:r>
      <w:r w:rsidR="005722EA" w:rsidRPr="003127C3">
        <w:t xml:space="preserve">an be used </w:t>
      </w:r>
      <w:r w:rsidR="00667868" w:rsidRPr="003127C3">
        <w:t xml:space="preserve">if necessary </w:t>
      </w:r>
      <w:r w:rsidR="005722EA" w:rsidRPr="003127C3">
        <w:t xml:space="preserve">but </w:t>
      </w:r>
      <w:r w:rsidRPr="003127C3">
        <w:t>the</w:t>
      </w:r>
      <w:r w:rsidR="00667868" w:rsidRPr="003127C3">
        <w:t xml:space="preserve"> testing on female urine will miss 1 in 10 cases compared to vaginal testing. </w:t>
      </w:r>
      <w:r w:rsidR="009C4C60" w:rsidRPr="003127C3">
        <w:t xml:space="preserve"> </w:t>
      </w:r>
    </w:p>
    <w:p w14:paraId="529F4C20" w14:textId="49FA2C2C" w:rsidR="00513D3B" w:rsidRPr="003127C3" w:rsidRDefault="00513D3B" w:rsidP="00157672">
      <w:pPr>
        <w:ind w:left="360"/>
        <w:rPr>
          <w:lang w:val="en-US"/>
        </w:rPr>
      </w:pPr>
      <w:r w:rsidRPr="003127C3">
        <w:t xml:space="preserve">See </w:t>
      </w:r>
      <w:hyperlink w:anchor="_Appendix" w:history="1">
        <w:r w:rsidRPr="003127C3">
          <w:rPr>
            <w:rStyle w:val="Hyperlink"/>
          </w:rPr>
          <w:t xml:space="preserve">Appendix </w:t>
        </w:r>
        <w:r w:rsidR="003127C3" w:rsidRPr="003127C3">
          <w:rPr>
            <w:rStyle w:val="Hyperlink"/>
          </w:rPr>
          <w:t>A</w:t>
        </w:r>
      </w:hyperlink>
      <w:r w:rsidR="003127C3" w:rsidRPr="003127C3">
        <w:t xml:space="preserve"> </w:t>
      </w:r>
      <w:r w:rsidRPr="003127C3">
        <w:t xml:space="preserve">for </w:t>
      </w:r>
      <w:bookmarkStart w:id="11" w:name="_Hlk213225216"/>
      <w:r w:rsidRPr="003127C3">
        <w:rPr>
          <w:lang w:val="en-US"/>
        </w:rPr>
        <w:t>Collection and Order for Chlamydia Trachomatis, Neisseria Gonorrhea &amp; Trichomonas Vaginalis</w:t>
      </w:r>
      <w:r w:rsidR="00157672">
        <w:rPr>
          <w:lang w:val="en-US"/>
        </w:rPr>
        <w:t>.</w:t>
      </w:r>
    </w:p>
    <w:bookmarkEnd w:id="11"/>
    <w:p w14:paraId="41CBA8E6" w14:textId="2DA57C88" w:rsidR="002051B9" w:rsidRDefault="00BE0FC0" w:rsidP="00157672">
      <w:pPr>
        <w:ind w:left="360"/>
      </w:pPr>
      <w:r>
        <w:t xml:space="preserve">Testing of the oral pharynx or rectum is </w:t>
      </w:r>
      <w:r w:rsidR="00E8431C">
        <w:t xml:space="preserve">collected using the </w:t>
      </w:r>
      <w:r>
        <w:t>same type of swab use</w:t>
      </w:r>
      <w:r w:rsidR="00CA7409">
        <w:t>d</w:t>
      </w:r>
      <w:r>
        <w:t xml:space="preserve"> for vaginal samples.</w:t>
      </w:r>
      <w:r w:rsidRPr="002051B9">
        <w:t xml:space="preserve"> </w:t>
      </w:r>
    </w:p>
    <w:p w14:paraId="7BAD9627" w14:textId="27FD7704" w:rsidR="00BE0FC0" w:rsidRDefault="00CA7409" w:rsidP="00157672">
      <w:pPr>
        <w:ind w:left="360"/>
      </w:pPr>
      <w:r w:rsidRPr="002051B9">
        <w:t>Culture is also possible</w:t>
      </w:r>
      <w:r w:rsidR="002C713E" w:rsidRPr="002051B9">
        <w:t xml:space="preserve"> but requires coordination in advance with the lab</w:t>
      </w:r>
      <w:r w:rsidRPr="002051B9">
        <w:t xml:space="preserve">. Contact the provincial lab </w:t>
      </w:r>
      <w:r w:rsidR="002C713E" w:rsidRPr="002051B9">
        <w:t xml:space="preserve">in advance of collecting the sample </w:t>
      </w:r>
      <w:r w:rsidRPr="002051B9">
        <w:t>to arrange for culture.</w:t>
      </w:r>
    </w:p>
    <w:p w14:paraId="4D663FF7" w14:textId="77777777" w:rsidR="00220D80" w:rsidRDefault="00BE0FC0" w:rsidP="00157672">
      <w:pPr>
        <w:ind w:left="360"/>
      </w:pPr>
      <w:r w:rsidRPr="00660D91">
        <w:t xml:space="preserve">For any specimen </w:t>
      </w:r>
      <w:r w:rsidR="00A77D69" w:rsidRPr="00660D91">
        <w:t xml:space="preserve">potentially </w:t>
      </w:r>
      <w:r w:rsidRPr="00660D91">
        <w:t xml:space="preserve">associated with sexual assault, </w:t>
      </w:r>
      <w:r w:rsidR="002C713E" w:rsidRPr="00660D91">
        <w:t xml:space="preserve">there is a chain of custody process that must be maintained in consultation with the microbiology lab. </w:t>
      </w:r>
    </w:p>
    <w:p w14:paraId="2895D328" w14:textId="75720B66" w:rsidR="000D45FC" w:rsidRPr="00157672" w:rsidRDefault="00A17F9C" w:rsidP="00157672">
      <w:pPr>
        <w:tabs>
          <w:tab w:val="left" w:pos="10710"/>
        </w:tabs>
        <w:ind w:left="360" w:right="540"/>
        <w:rPr>
          <w:b/>
          <w:szCs w:val="24"/>
        </w:rPr>
      </w:pPr>
      <w:r>
        <w:rPr>
          <w:szCs w:val="24"/>
        </w:rPr>
        <w:t>T</w:t>
      </w:r>
      <w:r w:rsidRPr="0084671C">
        <w:rPr>
          <w:szCs w:val="24"/>
        </w:rPr>
        <w:t xml:space="preserve">he specimen </w:t>
      </w:r>
      <w:r>
        <w:rPr>
          <w:szCs w:val="24"/>
        </w:rPr>
        <w:t>for</w:t>
      </w:r>
      <w:r w:rsidR="0084671C" w:rsidRPr="0084671C">
        <w:rPr>
          <w:szCs w:val="24"/>
        </w:rPr>
        <w:t xml:space="preserve"> infants under six months of age is generally taken </w:t>
      </w:r>
      <w:r w:rsidR="009C4C60">
        <w:rPr>
          <w:szCs w:val="24"/>
        </w:rPr>
        <w:t>from the</w:t>
      </w:r>
      <w:r w:rsidR="00BE0FC0">
        <w:rPr>
          <w:szCs w:val="24"/>
        </w:rPr>
        <w:t xml:space="preserve"> conjunctiva</w:t>
      </w:r>
      <w:r w:rsidR="009C4C60" w:rsidRPr="0084671C">
        <w:rPr>
          <w:szCs w:val="24"/>
        </w:rPr>
        <w:t xml:space="preserve"> </w:t>
      </w:r>
      <w:r w:rsidR="00BE0FC0">
        <w:rPr>
          <w:szCs w:val="24"/>
        </w:rPr>
        <w:t xml:space="preserve">or </w:t>
      </w:r>
      <w:r w:rsidR="0084671C" w:rsidRPr="0084671C">
        <w:rPr>
          <w:szCs w:val="24"/>
        </w:rPr>
        <w:t>nasopharynx</w:t>
      </w:r>
      <w:r w:rsidR="00BE0FC0">
        <w:rPr>
          <w:szCs w:val="24"/>
        </w:rPr>
        <w:t xml:space="preserve"> for both culture and molecular testing with second molecular target confirmation</w:t>
      </w:r>
      <w:r w:rsidR="009C4C60">
        <w:rPr>
          <w:szCs w:val="24"/>
        </w:rPr>
        <w:t>.</w:t>
      </w:r>
      <w:r w:rsidR="0084671C" w:rsidRPr="0084671C">
        <w:rPr>
          <w:szCs w:val="24"/>
        </w:rPr>
        <w:t xml:space="preserve"> </w:t>
      </w:r>
    </w:p>
    <w:p w14:paraId="37323E49" w14:textId="77777777" w:rsidR="007F32AD" w:rsidRDefault="007F32AD" w:rsidP="003127C3">
      <w:pPr>
        <w:pStyle w:val="Heading1"/>
      </w:pPr>
      <w:bookmarkStart w:id="12" w:name="_Toc219273871"/>
    </w:p>
    <w:p w14:paraId="16D276D5" w14:textId="4D1B9BBB" w:rsidR="000D45FC" w:rsidRDefault="000159DF" w:rsidP="003127C3">
      <w:pPr>
        <w:pStyle w:val="Heading1"/>
      </w:pPr>
      <w:r w:rsidRPr="001E7E7E">
        <w:t>Epidemiology</w:t>
      </w:r>
      <w:bookmarkEnd w:id="12"/>
    </w:p>
    <w:p w14:paraId="1EA5C703" w14:textId="77777777" w:rsidR="00157672" w:rsidRDefault="000159DF" w:rsidP="00ED740A">
      <w:pPr>
        <w:pStyle w:val="Heading2"/>
      </w:pPr>
      <w:bookmarkStart w:id="13" w:name="_Toc219273872"/>
      <w:r w:rsidRPr="00D135DF">
        <w:t>Reservoir</w:t>
      </w:r>
      <w:bookmarkEnd w:id="13"/>
      <w:r w:rsidRPr="00D135DF">
        <w:t xml:space="preserve"> </w:t>
      </w:r>
    </w:p>
    <w:p w14:paraId="331D3957" w14:textId="2B0FF7E5" w:rsidR="005722EA" w:rsidRDefault="00036005" w:rsidP="00157672">
      <w:pPr>
        <w:spacing w:after="0" w:line="240" w:lineRule="auto"/>
        <w:rPr>
          <w:rFonts w:cs="Arial"/>
        </w:rPr>
      </w:pPr>
      <w:r w:rsidRPr="00D93536">
        <w:rPr>
          <w:rFonts w:cs="Arial"/>
        </w:rPr>
        <w:t>Humans are the only known reservoir.</w:t>
      </w:r>
    </w:p>
    <w:p w14:paraId="679DBCCB" w14:textId="77777777" w:rsidR="00157672" w:rsidRPr="00157672" w:rsidRDefault="00157672" w:rsidP="00157672">
      <w:pPr>
        <w:spacing w:after="0" w:line="240" w:lineRule="auto"/>
        <w:rPr>
          <w:b/>
        </w:rPr>
      </w:pPr>
    </w:p>
    <w:p w14:paraId="032D9C58" w14:textId="77777777" w:rsidR="000159DF" w:rsidRPr="00D135DF" w:rsidRDefault="000159DF" w:rsidP="00ED740A">
      <w:pPr>
        <w:pStyle w:val="Heading2"/>
      </w:pPr>
      <w:bookmarkStart w:id="14" w:name="_Toc219273873"/>
      <w:r w:rsidRPr="00D135DF">
        <w:t>Transmission</w:t>
      </w:r>
      <w:bookmarkEnd w:id="14"/>
    </w:p>
    <w:p w14:paraId="78044761" w14:textId="2E9C9C3C" w:rsidR="003C4555" w:rsidRPr="003C4555" w:rsidRDefault="003C4555" w:rsidP="00C85753">
      <w:pPr>
        <w:spacing w:after="0"/>
        <w:rPr>
          <w:rFonts w:cs="Times New Roman"/>
          <w:lang w:val="en-US"/>
        </w:rPr>
      </w:pPr>
      <w:r w:rsidRPr="003C4555">
        <w:rPr>
          <w:rFonts w:cs="Times New Roman"/>
          <w:i/>
          <w:iCs/>
          <w:lang w:val="en-US"/>
        </w:rPr>
        <w:t>C. trachomatis</w:t>
      </w:r>
      <w:r w:rsidRPr="003C4555">
        <w:rPr>
          <w:rFonts w:cs="Times New Roman"/>
          <w:lang w:val="en-US"/>
        </w:rPr>
        <w:t xml:space="preserve"> is transmitted through vaginal, anal </w:t>
      </w:r>
      <w:r w:rsidR="00E8431C">
        <w:rPr>
          <w:rFonts w:cs="Times New Roman"/>
          <w:lang w:val="en-US"/>
        </w:rPr>
        <w:t>and</w:t>
      </w:r>
      <w:r w:rsidRPr="003C4555">
        <w:rPr>
          <w:rFonts w:cs="Times New Roman"/>
          <w:lang w:val="en-US"/>
        </w:rPr>
        <w:t xml:space="preserve"> oral sexual activity when there is contact with mucous membrane exudate from people </w:t>
      </w:r>
      <w:r w:rsidR="00E8431C">
        <w:rPr>
          <w:rFonts w:cs="Times New Roman"/>
          <w:lang w:val="en-US"/>
        </w:rPr>
        <w:t xml:space="preserve">infected </w:t>
      </w:r>
      <w:r w:rsidRPr="003C4555">
        <w:rPr>
          <w:rFonts w:cs="Times New Roman"/>
          <w:lang w:val="en-US"/>
        </w:rPr>
        <w:t xml:space="preserve">with chlamydia. </w:t>
      </w:r>
    </w:p>
    <w:p w14:paraId="57334800" w14:textId="722581E2" w:rsidR="003C4555" w:rsidRPr="003C4555" w:rsidRDefault="003C4555" w:rsidP="003C4555">
      <w:pPr>
        <w:rPr>
          <w:rFonts w:cs="Times New Roman"/>
          <w:lang w:val="en-US"/>
        </w:rPr>
      </w:pPr>
      <w:r w:rsidRPr="003C4555">
        <w:rPr>
          <w:rFonts w:cs="Times New Roman"/>
          <w:lang w:val="en-US"/>
        </w:rPr>
        <w:t xml:space="preserve">Vertical transmission can occur if a pregnant person with chlamydia has not been screened and treated during the prenatal period. </w:t>
      </w:r>
      <w:r w:rsidR="009F707B">
        <w:rPr>
          <w:rFonts w:cs="Times New Roman"/>
          <w:lang w:val="en-US"/>
        </w:rPr>
        <w:t>This can result in eye infections or pneumonia in the infant.</w:t>
      </w:r>
    </w:p>
    <w:p w14:paraId="655E1A44" w14:textId="77777777" w:rsidR="003C4555" w:rsidRPr="003C4555" w:rsidRDefault="003C4555" w:rsidP="003C4555">
      <w:pPr>
        <w:rPr>
          <w:rFonts w:cs="Times New Roman"/>
          <w:lang w:val="en-US"/>
        </w:rPr>
      </w:pPr>
      <w:r w:rsidRPr="003C4555">
        <w:rPr>
          <w:rFonts w:cs="Times New Roman"/>
          <w:lang w:val="en-US"/>
        </w:rPr>
        <w:t>Autoinoculation may also occur from an infected genital site to the conjunctivae or the rectum.</w:t>
      </w:r>
    </w:p>
    <w:p w14:paraId="5B88EAB2" w14:textId="77777777" w:rsidR="000159DF" w:rsidRPr="00D135DF" w:rsidRDefault="000159DF" w:rsidP="00ED740A">
      <w:pPr>
        <w:pStyle w:val="Heading2"/>
      </w:pPr>
      <w:bookmarkStart w:id="15" w:name="_Toc219273874"/>
      <w:r w:rsidRPr="00D135DF">
        <w:t>Incubation Period</w:t>
      </w:r>
      <w:bookmarkEnd w:id="15"/>
    </w:p>
    <w:p w14:paraId="2EA0A75E" w14:textId="7BFC8709" w:rsidR="00036005" w:rsidRDefault="00036005" w:rsidP="00C85753">
      <w:pPr>
        <w:spacing w:after="0"/>
        <w:rPr>
          <w:rFonts w:cs="Times New Roman"/>
        </w:rPr>
      </w:pPr>
      <w:r w:rsidRPr="00D93536">
        <w:rPr>
          <w:rFonts w:cs="Times New Roman"/>
        </w:rPr>
        <w:t>The incubation period is variable depending upon the type/site of infection. It is commonly 7 – 14 days</w:t>
      </w:r>
      <w:r w:rsidR="005114EB">
        <w:rPr>
          <w:rFonts w:cs="Times New Roman"/>
        </w:rPr>
        <w:t xml:space="preserve"> </w:t>
      </w:r>
      <w:r w:rsidR="00D93536" w:rsidRPr="00D93536">
        <w:rPr>
          <w:rFonts w:cs="Times New Roman"/>
        </w:rPr>
        <w:t>but can be much longer</w:t>
      </w:r>
      <w:r w:rsidRPr="00D93536">
        <w:rPr>
          <w:rFonts w:cs="Times New Roman"/>
        </w:rPr>
        <w:t>.</w:t>
      </w:r>
    </w:p>
    <w:p w14:paraId="5831F690" w14:textId="77777777" w:rsidR="00157672" w:rsidRPr="00D93536" w:rsidRDefault="00157672" w:rsidP="00157672">
      <w:pPr>
        <w:spacing w:after="0"/>
        <w:rPr>
          <w:rFonts w:cs="Times New Roman"/>
        </w:rPr>
      </w:pPr>
    </w:p>
    <w:p w14:paraId="64417D3D" w14:textId="77777777" w:rsidR="000159DF" w:rsidRPr="00D135DF" w:rsidRDefault="000159DF" w:rsidP="00ED740A">
      <w:pPr>
        <w:pStyle w:val="Heading2"/>
      </w:pPr>
      <w:bookmarkStart w:id="16" w:name="_Toc219273875"/>
      <w:r w:rsidRPr="00D135DF">
        <w:t>Period of Communicability</w:t>
      </w:r>
      <w:bookmarkEnd w:id="16"/>
    </w:p>
    <w:p w14:paraId="3F6E80ED" w14:textId="2957076F" w:rsidR="00036005" w:rsidRPr="00CA7409" w:rsidRDefault="00036005" w:rsidP="00C85753">
      <w:pPr>
        <w:spacing w:after="0"/>
        <w:rPr>
          <w:rFonts w:cs="Times New Roman"/>
          <w:color w:val="FF0000"/>
        </w:rPr>
      </w:pPr>
      <w:r w:rsidRPr="00D93536">
        <w:rPr>
          <w:rFonts w:cs="Times New Roman"/>
          <w:i/>
          <w:iCs/>
        </w:rPr>
        <w:t xml:space="preserve">Chlamydia trachomatis </w:t>
      </w:r>
      <w:r w:rsidRPr="00D93536">
        <w:rPr>
          <w:rFonts w:cs="Times New Roman"/>
        </w:rPr>
        <w:t>is communicable for as long as the person harbours the organism. This may be for many months in untreated individuals.</w:t>
      </w:r>
      <w:r w:rsidR="00CA7409">
        <w:rPr>
          <w:rFonts w:cs="Segoe UI"/>
          <w:color w:val="000000"/>
          <w:szCs w:val="26"/>
          <w:shd w:val="clear" w:color="auto" w:fill="FFFFFF"/>
        </w:rPr>
        <w:t xml:space="preserve"> </w:t>
      </w:r>
      <w:r w:rsidR="00B114E9">
        <w:rPr>
          <w:rFonts w:cs="Segoe UI"/>
          <w:color w:val="000000"/>
          <w:szCs w:val="26"/>
          <w:shd w:val="clear" w:color="auto" w:fill="FFFFFF"/>
        </w:rPr>
        <w:t xml:space="preserve">Avoidance of </w:t>
      </w:r>
      <w:r w:rsidR="00CA7409" w:rsidRPr="00CA7409">
        <w:rPr>
          <w:rFonts w:cs="Segoe UI"/>
          <w:color w:val="000000"/>
          <w:szCs w:val="26"/>
          <w:shd w:val="clear" w:color="auto" w:fill="FFFFFF"/>
        </w:rPr>
        <w:t>sexual activity</w:t>
      </w:r>
      <w:r w:rsidR="00CA7409">
        <w:rPr>
          <w:rFonts w:cs="Segoe UI"/>
          <w:color w:val="000000"/>
          <w:szCs w:val="26"/>
          <w:shd w:val="clear" w:color="auto" w:fill="FFFFFF"/>
        </w:rPr>
        <w:t xml:space="preserve"> </w:t>
      </w:r>
      <w:r w:rsidR="005114EB">
        <w:rPr>
          <w:rFonts w:cs="Segoe UI"/>
          <w:color w:val="000000"/>
          <w:szCs w:val="26"/>
          <w:shd w:val="clear" w:color="auto" w:fill="FFFFFF"/>
        </w:rPr>
        <w:t xml:space="preserve">without </w:t>
      </w:r>
      <w:r w:rsidR="00E8431C">
        <w:rPr>
          <w:rFonts w:cs="Segoe UI"/>
          <w:color w:val="000000"/>
          <w:szCs w:val="26"/>
          <w:shd w:val="clear" w:color="auto" w:fill="FFFFFF"/>
        </w:rPr>
        <w:t xml:space="preserve">using </w:t>
      </w:r>
      <w:r w:rsidR="005114EB">
        <w:rPr>
          <w:rFonts w:cs="Segoe UI"/>
          <w:color w:val="000000"/>
          <w:szCs w:val="26"/>
          <w:shd w:val="clear" w:color="auto" w:fill="FFFFFF"/>
        </w:rPr>
        <w:t xml:space="preserve">barrier protection </w:t>
      </w:r>
      <w:r w:rsidR="00CA7409">
        <w:rPr>
          <w:rFonts w:cs="Segoe UI"/>
          <w:color w:val="000000"/>
          <w:szCs w:val="26"/>
          <w:shd w:val="clear" w:color="auto" w:fill="FFFFFF"/>
        </w:rPr>
        <w:t>should be practiced</w:t>
      </w:r>
      <w:r w:rsidR="00CA7409" w:rsidRPr="00CA7409">
        <w:rPr>
          <w:rFonts w:cs="Segoe UI"/>
          <w:color w:val="000000"/>
          <w:szCs w:val="26"/>
          <w:shd w:val="clear" w:color="auto" w:fill="FFFFFF"/>
        </w:rPr>
        <w:t xml:space="preserve"> for 7 days after </w:t>
      </w:r>
      <w:r w:rsidR="00C85753">
        <w:rPr>
          <w:rFonts w:cs="Segoe UI"/>
          <w:color w:val="000000"/>
          <w:szCs w:val="26"/>
          <w:shd w:val="clear" w:color="auto" w:fill="FFFFFF"/>
        </w:rPr>
        <w:t>treatment</w:t>
      </w:r>
      <w:r w:rsidR="00CA7409" w:rsidRPr="00CA7409">
        <w:rPr>
          <w:rFonts w:cs="Segoe UI"/>
          <w:color w:val="000000"/>
          <w:szCs w:val="26"/>
          <w:shd w:val="clear" w:color="auto" w:fill="FFFFFF"/>
        </w:rPr>
        <w:t>, to prevent spreading the infection to partners.</w:t>
      </w:r>
    </w:p>
    <w:p w14:paraId="22564A81" w14:textId="77777777" w:rsidR="00C85753" w:rsidRDefault="00C85753" w:rsidP="00ED740A">
      <w:pPr>
        <w:pStyle w:val="Heading2"/>
      </w:pPr>
    </w:p>
    <w:p w14:paraId="0D54CFEE" w14:textId="0A601019" w:rsidR="000159DF" w:rsidRPr="00D135DF" w:rsidRDefault="000159DF" w:rsidP="00ED740A">
      <w:pPr>
        <w:pStyle w:val="Heading2"/>
      </w:pPr>
      <w:bookmarkStart w:id="17" w:name="_Toc219273876"/>
      <w:r w:rsidRPr="00D135DF">
        <w:t>Host susceptibility</w:t>
      </w:r>
      <w:bookmarkEnd w:id="17"/>
    </w:p>
    <w:p w14:paraId="09B98A0C" w14:textId="77777777" w:rsidR="00036005" w:rsidRPr="00C10E1F" w:rsidRDefault="00036005" w:rsidP="00C85753">
      <w:pPr>
        <w:spacing w:after="0"/>
        <w:rPr>
          <w:rFonts w:cs="Times New Roman"/>
          <w:sz w:val="28"/>
        </w:rPr>
      </w:pPr>
      <w:r w:rsidRPr="00C10E1F">
        <w:rPr>
          <w:rFonts w:cs="Times New Roman"/>
        </w:rPr>
        <w:t>All persons are susceptible to this disease if exposed. No acquired immunity has been demonstrated</w:t>
      </w:r>
      <w:r w:rsidR="005527BC">
        <w:rPr>
          <w:rFonts w:cs="Times New Roman"/>
        </w:rPr>
        <w:t>;</w:t>
      </w:r>
      <w:r w:rsidRPr="00C10E1F">
        <w:rPr>
          <w:rFonts w:cs="Times New Roman"/>
        </w:rPr>
        <w:t xml:space="preserve"> the recurrent infection rate among young sexually active individuals is quite high.</w:t>
      </w:r>
    </w:p>
    <w:p w14:paraId="276D13B4" w14:textId="77777777" w:rsidR="007F32AD" w:rsidRDefault="007F32AD" w:rsidP="003127C3">
      <w:pPr>
        <w:pStyle w:val="Heading1"/>
      </w:pPr>
      <w:bookmarkStart w:id="18" w:name="_Toc219273877"/>
    </w:p>
    <w:p w14:paraId="2DF1A4C2" w14:textId="1D8C38D5" w:rsidR="000159DF" w:rsidRPr="001E7E7E" w:rsidRDefault="000159DF" w:rsidP="003127C3">
      <w:pPr>
        <w:pStyle w:val="Heading1"/>
      </w:pPr>
      <w:r w:rsidRPr="001E7E7E">
        <w:t>Occurrence</w:t>
      </w:r>
      <w:bookmarkEnd w:id="18"/>
    </w:p>
    <w:p w14:paraId="2A4A7B5F" w14:textId="77777777" w:rsidR="000159DF" w:rsidRPr="00D135DF" w:rsidRDefault="000159DF" w:rsidP="00ED740A">
      <w:pPr>
        <w:pStyle w:val="Heading2"/>
      </w:pPr>
      <w:bookmarkStart w:id="19" w:name="_Toc219273878"/>
      <w:r w:rsidRPr="00D135DF">
        <w:t>General</w:t>
      </w:r>
      <w:bookmarkEnd w:id="19"/>
    </w:p>
    <w:p w14:paraId="066BBDA3" w14:textId="3BD5C0E1" w:rsidR="00036005" w:rsidRPr="00F91746" w:rsidRDefault="009F707B" w:rsidP="00C85753">
      <w:pPr>
        <w:spacing w:after="0"/>
        <w:rPr>
          <w:rFonts w:cs="Times New Roman"/>
          <w:color w:val="000000"/>
        </w:rPr>
      </w:pPr>
      <w:r>
        <w:rPr>
          <w:rFonts w:cs="Times New Roman"/>
          <w:color w:val="000000"/>
        </w:rPr>
        <w:t>Chlamydia is</w:t>
      </w:r>
      <w:r w:rsidR="00036005" w:rsidRPr="00F91746">
        <w:rPr>
          <w:rFonts w:cs="Times New Roman"/>
          <w:color w:val="000000"/>
        </w:rPr>
        <w:t xml:space="preserve"> one of the most frequently reported </w:t>
      </w:r>
      <w:r w:rsidR="00B567D7">
        <w:rPr>
          <w:rFonts w:cs="Times New Roman"/>
          <w:color w:val="000000"/>
        </w:rPr>
        <w:t xml:space="preserve">sexually transmitted diseases </w:t>
      </w:r>
      <w:r w:rsidR="00036005" w:rsidRPr="00F91746">
        <w:rPr>
          <w:rFonts w:cs="Times New Roman"/>
          <w:color w:val="000000"/>
        </w:rPr>
        <w:t>worldwide. The World Health Organization estimate</w:t>
      </w:r>
      <w:r>
        <w:rPr>
          <w:rFonts w:cs="Times New Roman"/>
          <w:color w:val="000000"/>
        </w:rPr>
        <w:t xml:space="preserve">d </w:t>
      </w:r>
      <w:r w:rsidR="00D135DF" w:rsidRPr="00F91746">
        <w:rPr>
          <w:rFonts w:cs="Times New Roman"/>
          <w:color w:val="000000"/>
        </w:rPr>
        <w:t>g</w:t>
      </w:r>
      <w:r w:rsidR="00036005" w:rsidRPr="00F91746">
        <w:rPr>
          <w:rFonts w:cs="Times New Roman"/>
          <w:color w:val="000000"/>
        </w:rPr>
        <w:t>lobally there</w:t>
      </w:r>
      <w:r>
        <w:rPr>
          <w:rFonts w:cs="Times New Roman"/>
          <w:color w:val="000000"/>
        </w:rPr>
        <w:t xml:space="preserve"> were</w:t>
      </w:r>
      <w:r w:rsidR="00036005" w:rsidRPr="00F91746">
        <w:rPr>
          <w:rFonts w:cs="Times New Roman"/>
          <w:color w:val="000000"/>
        </w:rPr>
        <w:t xml:space="preserve"> </w:t>
      </w:r>
      <w:r w:rsidR="005722EA" w:rsidRPr="00F91746">
        <w:rPr>
          <w:rFonts w:cs="Times New Roman"/>
          <w:color w:val="000000"/>
        </w:rPr>
        <w:t>approximately</w:t>
      </w:r>
      <w:r w:rsidR="00036005" w:rsidRPr="00F91746">
        <w:rPr>
          <w:rFonts w:cs="Times New Roman"/>
          <w:color w:val="000000"/>
        </w:rPr>
        <w:t xml:space="preserve"> </w:t>
      </w:r>
      <w:r>
        <w:rPr>
          <w:rFonts w:cs="Times New Roman"/>
          <w:color w:val="000000"/>
        </w:rPr>
        <w:t xml:space="preserve">128.5 </w:t>
      </w:r>
      <w:r w:rsidR="00036005" w:rsidRPr="00F91746">
        <w:rPr>
          <w:rFonts w:cs="Times New Roman"/>
          <w:color w:val="000000"/>
        </w:rPr>
        <w:t xml:space="preserve">million </w:t>
      </w:r>
      <w:r w:rsidR="00DD2F62" w:rsidRPr="00F91746">
        <w:rPr>
          <w:rFonts w:cs="Times New Roman"/>
          <w:color w:val="000000"/>
        </w:rPr>
        <w:t xml:space="preserve">persons </w:t>
      </w:r>
      <w:r w:rsidR="00DD2F62">
        <w:rPr>
          <w:rFonts w:cs="Times New Roman"/>
          <w:color w:val="000000"/>
        </w:rPr>
        <w:t>(</w:t>
      </w:r>
      <w:r>
        <w:rPr>
          <w:rFonts w:cs="Times New Roman"/>
          <w:color w:val="000000"/>
        </w:rPr>
        <w:t xml:space="preserve">aged 15-49 yrs) </w:t>
      </w:r>
      <w:r w:rsidR="00036005" w:rsidRPr="00F91746">
        <w:rPr>
          <w:rFonts w:cs="Times New Roman"/>
          <w:color w:val="000000"/>
        </w:rPr>
        <w:t>infected</w:t>
      </w:r>
      <w:r w:rsidR="00DE2DA8" w:rsidRPr="00F91746">
        <w:rPr>
          <w:rFonts w:cs="Times New Roman"/>
          <w:color w:val="000000"/>
        </w:rPr>
        <w:t xml:space="preserve"> </w:t>
      </w:r>
      <w:r>
        <w:rPr>
          <w:rFonts w:cs="Times New Roman"/>
          <w:color w:val="000000"/>
        </w:rPr>
        <w:t>in 2020</w:t>
      </w:r>
      <w:r w:rsidR="00B567D7">
        <w:rPr>
          <w:rFonts w:cs="Times New Roman"/>
          <w:color w:val="000000"/>
          <w:vertAlign w:val="superscript"/>
        </w:rPr>
        <w:t>4</w:t>
      </w:r>
      <w:r w:rsidR="00036005" w:rsidRPr="00F91746">
        <w:rPr>
          <w:rFonts w:cs="Times New Roman"/>
          <w:color w:val="000000"/>
        </w:rPr>
        <w:t xml:space="preserve">. This infection is the most common cause of urethritis and cervicitis in North America. </w:t>
      </w:r>
    </w:p>
    <w:p w14:paraId="6E56CCAF" w14:textId="03B2C5BF" w:rsidR="00F91746" w:rsidRPr="0064384D" w:rsidRDefault="00036005" w:rsidP="009228D9">
      <w:pPr>
        <w:rPr>
          <w:rFonts w:cs="Times New Roman"/>
          <w:szCs w:val="24"/>
        </w:rPr>
      </w:pPr>
      <w:r w:rsidRPr="00F91746">
        <w:rPr>
          <w:rFonts w:cs="Times New Roman"/>
          <w:szCs w:val="24"/>
        </w:rPr>
        <w:lastRenderedPageBreak/>
        <w:t xml:space="preserve">Chlamydia infections have been found in all population </w:t>
      </w:r>
      <w:r w:rsidR="00DD2F62" w:rsidRPr="00F91746">
        <w:rPr>
          <w:rFonts w:cs="Times New Roman"/>
          <w:szCs w:val="24"/>
        </w:rPr>
        <w:t>groups,</w:t>
      </w:r>
      <w:r w:rsidRPr="00F91746">
        <w:rPr>
          <w:rFonts w:cs="Times New Roman"/>
          <w:szCs w:val="24"/>
        </w:rPr>
        <w:t xml:space="preserve"> but they are </w:t>
      </w:r>
      <w:r w:rsidR="00565C35">
        <w:rPr>
          <w:rFonts w:cs="Times New Roman"/>
          <w:szCs w:val="24"/>
        </w:rPr>
        <w:t>more common in young people.</w:t>
      </w:r>
      <w:r w:rsidRPr="00F91746">
        <w:rPr>
          <w:rFonts w:cs="Times New Roman"/>
          <w:szCs w:val="24"/>
        </w:rPr>
        <w:t xml:space="preserve"> It affects both males and females in all age </w:t>
      </w:r>
      <w:r w:rsidR="00D135DF" w:rsidRPr="00F91746">
        <w:rPr>
          <w:rFonts w:cs="Times New Roman"/>
          <w:szCs w:val="24"/>
        </w:rPr>
        <w:t>groups;</w:t>
      </w:r>
      <w:r w:rsidRPr="00F91746">
        <w:rPr>
          <w:rFonts w:cs="Times New Roman"/>
          <w:szCs w:val="24"/>
        </w:rPr>
        <w:t xml:space="preserve"> however, females are affected more often than males. Sporadic cases of chlamydial conjunctivitis are reported throughout the world in sexually active adults. </w:t>
      </w:r>
    </w:p>
    <w:p w14:paraId="12F757CD" w14:textId="77777777" w:rsidR="000159DF" w:rsidRPr="00D135DF" w:rsidRDefault="000159DF" w:rsidP="00ED740A">
      <w:pPr>
        <w:pStyle w:val="Heading2"/>
      </w:pPr>
      <w:bookmarkStart w:id="20" w:name="_Toc219273879"/>
      <w:r w:rsidRPr="00D135DF">
        <w:t>Canada</w:t>
      </w:r>
      <w:bookmarkEnd w:id="20"/>
    </w:p>
    <w:p w14:paraId="35F021A0" w14:textId="42BA7A6F" w:rsidR="00D03922" w:rsidRDefault="00D03922" w:rsidP="00C85753">
      <w:pPr>
        <w:spacing w:after="0"/>
      </w:pPr>
      <w:r w:rsidRPr="00D03922">
        <w:rPr>
          <w:rFonts w:cs="Times New Roman"/>
          <w:szCs w:val="24"/>
        </w:rPr>
        <w:t>The number and rate of reported chlamydia cases are increasing</w:t>
      </w:r>
      <w:r>
        <w:rPr>
          <w:rFonts w:cs="Times New Roman"/>
          <w:szCs w:val="24"/>
        </w:rPr>
        <w:t xml:space="preserve"> in Canada</w:t>
      </w:r>
      <w:r w:rsidRPr="00D03922">
        <w:rPr>
          <w:rFonts w:cs="Times New Roman"/>
          <w:szCs w:val="24"/>
        </w:rPr>
        <w:t>. In 20</w:t>
      </w:r>
      <w:r w:rsidR="00DD2F62">
        <w:rPr>
          <w:rFonts w:cs="Times New Roman"/>
          <w:szCs w:val="24"/>
        </w:rPr>
        <w:t>23</w:t>
      </w:r>
      <w:r w:rsidR="005E3979">
        <w:rPr>
          <w:rFonts w:cs="Times New Roman"/>
          <w:szCs w:val="24"/>
        </w:rPr>
        <w:t>,</w:t>
      </w:r>
      <w:r w:rsidR="00694482">
        <w:rPr>
          <w:rFonts w:cs="Times New Roman"/>
          <w:szCs w:val="24"/>
        </w:rPr>
        <w:t xml:space="preserve"> 1</w:t>
      </w:r>
      <w:r w:rsidR="00DD2F62">
        <w:rPr>
          <w:rFonts w:cs="Times New Roman"/>
          <w:szCs w:val="24"/>
        </w:rPr>
        <w:t>29,626</w:t>
      </w:r>
      <w:r w:rsidRPr="00D03922">
        <w:rPr>
          <w:rFonts w:cs="Times New Roman"/>
          <w:szCs w:val="24"/>
        </w:rPr>
        <w:t xml:space="preserve"> cases of chlamydia were reported nationally, corresponding to a national rate of </w:t>
      </w:r>
      <w:r w:rsidR="00694482">
        <w:rPr>
          <w:rFonts w:cs="Times New Roman"/>
          <w:szCs w:val="24"/>
        </w:rPr>
        <w:t>3</w:t>
      </w:r>
      <w:r w:rsidR="00DD2F62">
        <w:rPr>
          <w:rFonts w:cs="Times New Roman"/>
          <w:szCs w:val="24"/>
        </w:rPr>
        <w:t>23</w:t>
      </w:r>
      <w:r w:rsidR="005E3979">
        <w:rPr>
          <w:rFonts w:cs="Times New Roman"/>
          <w:szCs w:val="24"/>
        </w:rPr>
        <w:t xml:space="preserve"> </w:t>
      </w:r>
      <w:r w:rsidRPr="00D03922">
        <w:rPr>
          <w:rFonts w:cs="Times New Roman"/>
          <w:szCs w:val="24"/>
        </w:rPr>
        <w:t>cases p</w:t>
      </w:r>
      <w:r>
        <w:rPr>
          <w:rFonts w:cs="Times New Roman"/>
          <w:szCs w:val="24"/>
        </w:rPr>
        <w:t xml:space="preserve">er 100,000 population. </w:t>
      </w:r>
      <w:r w:rsidR="005C0762">
        <w:rPr>
          <w:rFonts w:cs="Times New Roman"/>
          <w:szCs w:val="24"/>
        </w:rPr>
        <w:t>From 1997 to 2019, n</w:t>
      </w:r>
      <w:r w:rsidR="00E6720A" w:rsidRPr="00E6720A">
        <w:rPr>
          <w:rFonts w:cs="Times New Roman"/>
          <w:szCs w:val="24"/>
        </w:rPr>
        <w:t xml:space="preserve">ational rates of reported chlamydia cases </w:t>
      </w:r>
      <w:r w:rsidR="005C0762">
        <w:rPr>
          <w:rFonts w:cs="Times New Roman"/>
          <w:szCs w:val="24"/>
        </w:rPr>
        <w:t xml:space="preserve">were </w:t>
      </w:r>
      <w:r w:rsidR="00E6720A" w:rsidRPr="00E6720A">
        <w:rPr>
          <w:rFonts w:cs="Times New Roman"/>
          <w:szCs w:val="24"/>
        </w:rPr>
        <w:t>steadily increas</w:t>
      </w:r>
      <w:r w:rsidR="005C0762">
        <w:rPr>
          <w:rFonts w:cs="Times New Roman"/>
          <w:szCs w:val="24"/>
        </w:rPr>
        <w:t>ing</w:t>
      </w:r>
      <w:r w:rsidR="005E3979">
        <w:rPr>
          <w:rFonts w:cs="Times New Roman"/>
          <w:szCs w:val="24"/>
        </w:rPr>
        <w:t>, and i</w:t>
      </w:r>
      <w:r w:rsidR="005C0762">
        <w:rPr>
          <w:rFonts w:cs="Times New Roman"/>
          <w:szCs w:val="24"/>
        </w:rPr>
        <w:t>n recent years, the reported rate of chlamydia increased by 22% from 2012 to 2019 (from 303 cases</w:t>
      </w:r>
      <w:r w:rsidR="005E3979">
        <w:rPr>
          <w:rFonts w:cs="Times New Roman"/>
          <w:szCs w:val="24"/>
        </w:rPr>
        <w:t xml:space="preserve"> to</w:t>
      </w:r>
      <w:r w:rsidR="005C0762">
        <w:rPr>
          <w:rFonts w:cs="Times New Roman"/>
          <w:szCs w:val="24"/>
        </w:rPr>
        <w:t xml:space="preserve"> </w:t>
      </w:r>
      <w:r w:rsidR="005E3979">
        <w:rPr>
          <w:rFonts w:cs="Times New Roman"/>
          <w:szCs w:val="24"/>
        </w:rPr>
        <w:t>371 cases per 100,000 population).  While</w:t>
      </w:r>
      <w:r w:rsidR="00E6720A">
        <w:rPr>
          <w:rFonts w:cs="Times New Roman"/>
          <w:szCs w:val="24"/>
        </w:rPr>
        <w:t xml:space="preserve"> a drop in </w:t>
      </w:r>
      <w:r w:rsidR="005C0762">
        <w:rPr>
          <w:rFonts w:cs="Times New Roman"/>
          <w:szCs w:val="24"/>
        </w:rPr>
        <w:t>rates was observed in 2020 with the arrival of COVID-19</w:t>
      </w:r>
      <w:r w:rsidR="005E3979">
        <w:rPr>
          <w:rFonts w:cs="Times New Roman"/>
          <w:szCs w:val="24"/>
        </w:rPr>
        <w:t xml:space="preserve">, </w:t>
      </w:r>
      <w:r w:rsidR="005E3979" w:rsidRPr="005E3979">
        <w:rPr>
          <w:rFonts w:cs="Times New Roman"/>
          <w:szCs w:val="24"/>
        </w:rPr>
        <w:t>p</w:t>
      </w:r>
      <w:r w:rsidR="00DD2F62" w:rsidRPr="005E3979">
        <w:rPr>
          <w:rFonts w:cs="Times New Roman"/>
          <w:szCs w:val="24"/>
        </w:rPr>
        <w:t>ost</w:t>
      </w:r>
      <w:r w:rsidR="005E3979" w:rsidRPr="005E3979">
        <w:rPr>
          <w:rFonts w:cs="Times New Roman"/>
          <w:szCs w:val="24"/>
        </w:rPr>
        <w:t>-</w:t>
      </w:r>
      <w:r w:rsidR="00DD2F62" w:rsidRPr="005E3979">
        <w:rPr>
          <w:rFonts w:cs="Times New Roman"/>
          <w:szCs w:val="24"/>
        </w:rPr>
        <w:t>pandemic</w:t>
      </w:r>
      <w:r w:rsidR="005E3979" w:rsidRPr="005E3979">
        <w:rPr>
          <w:rFonts w:cs="Times New Roman"/>
          <w:szCs w:val="24"/>
        </w:rPr>
        <w:t xml:space="preserve"> the reported rates of chlamydia </w:t>
      </w:r>
      <w:r w:rsidR="00DD2F62" w:rsidRPr="005E3979">
        <w:rPr>
          <w:rFonts w:cs="Times New Roman"/>
          <w:szCs w:val="24"/>
        </w:rPr>
        <w:t xml:space="preserve">are </w:t>
      </w:r>
      <w:r w:rsidR="005E3979" w:rsidRPr="005E3979">
        <w:rPr>
          <w:rFonts w:cs="Times New Roman"/>
          <w:szCs w:val="24"/>
        </w:rPr>
        <w:t xml:space="preserve">once again </w:t>
      </w:r>
      <w:r w:rsidR="00DD2F62" w:rsidRPr="005E3979">
        <w:rPr>
          <w:rFonts w:cs="Times New Roman"/>
          <w:szCs w:val="24"/>
        </w:rPr>
        <w:t>starting to climb</w:t>
      </w:r>
      <w:r w:rsidR="00C6418F" w:rsidRPr="005E3979">
        <w:rPr>
          <w:rFonts w:cs="Times New Roman"/>
          <w:szCs w:val="24"/>
        </w:rPr>
        <w:t>.</w:t>
      </w:r>
      <w:r w:rsidR="00C85753" w:rsidRPr="005E3979">
        <w:rPr>
          <w:rFonts w:cs="Times New Roman"/>
          <w:szCs w:val="24"/>
          <w:vertAlign w:val="superscript"/>
        </w:rPr>
        <w:t>5</w:t>
      </w:r>
      <w:r w:rsidR="00886C5D" w:rsidRPr="005E3979">
        <w:rPr>
          <w:rFonts w:cs="Times New Roman"/>
          <w:szCs w:val="24"/>
        </w:rPr>
        <w:t xml:space="preserve"> For more information regarding rates of Chlamydia in Canada visit </w:t>
      </w:r>
      <w:hyperlink r:id="rId8" w:history="1">
        <w:r w:rsidR="00C6418F" w:rsidRPr="005E3979">
          <w:rPr>
            <w:rStyle w:val="Hyperlink"/>
            <w:rFonts w:cs="Times New Roman"/>
            <w:szCs w:val="24"/>
          </w:rPr>
          <w:t>Reported cases from 1924 to 2023 in Canada - Notifiable diseases on-line</w:t>
        </w:r>
      </w:hyperlink>
    </w:p>
    <w:p w14:paraId="3253CB74" w14:textId="77777777" w:rsidR="00EE3FF1" w:rsidRDefault="00EE3FF1" w:rsidP="00DD2F62">
      <w:pPr>
        <w:spacing w:after="0"/>
        <w:rPr>
          <w:rFonts w:cs="Times New Roman"/>
          <w:szCs w:val="24"/>
        </w:rPr>
      </w:pPr>
    </w:p>
    <w:p w14:paraId="5846BBE8" w14:textId="77777777" w:rsidR="00F94438" w:rsidRDefault="00D135DF" w:rsidP="00ED740A">
      <w:pPr>
        <w:pStyle w:val="Heading2"/>
      </w:pPr>
      <w:bookmarkStart w:id="21" w:name="_Toc219273880"/>
      <w:r w:rsidRPr="00D135DF">
        <w:t>Prince Edward Island</w:t>
      </w:r>
      <w:bookmarkEnd w:id="21"/>
    </w:p>
    <w:p w14:paraId="2CA3A9BF" w14:textId="77777777" w:rsidR="005E4A47" w:rsidRDefault="005E4A47" w:rsidP="00C85753">
      <w:pPr>
        <w:spacing w:after="0"/>
      </w:pPr>
      <w:r>
        <w:t xml:space="preserve">Chlamydia </w:t>
      </w:r>
      <w:r w:rsidR="00E716CA">
        <w:t xml:space="preserve">is the most frequently reported STI </w:t>
      </w:r>
      <w:r w:rsidR="007E2B10">
        <w:t xml:space="preserve">on Prince Edward Island. The </w:t>
      </w:r>
      <w:hyperlink r:id="rId9" w:history="1">
        <w:r w:rsidR="007E2B10" w:rsidRPr="009372CE">
          <w:rPr>
            <w:rStyle w:val="Hyperlink"/>
          </w:rPr>
          <w:t>rate of infection</w:t>
        </w:r>
      </w:hyperlink>
      <w:r w:rsidR="007E2B10">
        <w:t xml:space="preserve"> remains below the Canadian average but has an upward trend over the past decade.</w:t>
      </w:r>
    </w:p>
    <w:p w14:paraId="2C562FF7" w14:textId="77777777" w:rsidR="00EE3FF1" w:rsidRPr="005E4A47" w:rsidRDefault="00EE3FF1" w:rsidP="00EE3FF1">
      <w:pPr>
        <w:spacing w:after="0"/>
      </w:pPr>
    </w:p>
    <w:p w14:paraId="1DB3BE89" w14:textId="77777777" w:rsidR="000159DF" w:rsidRDefault="000159DF" w:rsidP="003127C3">
      <w:pPr>
        <w:pStyle w:val="Heading1"/>
      </w:pPr>
      <w:bookmarkStart w:id="22" w:name="_Toc219273881"/>
      <w:r w:rsidRPr="00BD648B">
        <w:t>Control</w:t>
      </w:r>
      <w:bookmarkEnd w:id="22"/>
    </w:p>
    <w:p w14:paraId="13A13F73" w14:textId="0B093F54" w:rsidR="00A74C88" w:rsidRPr="000D45FC" w:rsidRDefault="00A74C88" w:rsidP="000D45FC">
      <w:pPr>
        <w:pStyle w:val="Default"/>
        <w:spacing w:after="240" w:line="276" w:lineRule="auto"/>
        <w:rPr>
          <w:rFonts w:asciiTheme="minorHAnsi" w:hAnsiTheme="minorHAnsi" w:cs="Times New Roman"/>
        </w:rPr>
      </w:pPr>
      <w:r w:rsidRPr="00AC2A2E">
        <w:rPr>
          <w:rFonts w:asciiTheme="minorHAnsi" w:hAnsiTheme="minorHAnsi"/>
        </w:rPr>
        <w:t>The effort to control chlamydia involves follow up of cases and their</w:t>
      </w:r>
      <w:r w:rsidR="00B567D7">
        <w:rPr>
          <w:rFonts w:asciiTheme="minorHAnsi" w:hAnsiTheme="minorHAnsi"/>
        </w:rPr>
        <w:t xml:space="preserve"> sexual</w:t>
      </w:r>
      <w:r w:rsidRPr="00AC2A2E">
        <w:rPr>
          <w:rFonts w:asciiTheme="minorHAnsi" w:hAnsiTheme="minorHAnsi"/>
        </w:rPr>
        <w:t xml:space="preserve"> </w:t>
      </w:r>
      <w:r w:rsidR="00AC2A2E" w:rsidRPr="00AC2A2E">
        <w:rPr>
          <w:rFonts w:asciiTheme="minorHAnsi" w:hAnsiTheme="minorHAnsi"/>
        </w:rPr>
        <w:t>partner</w:t>
      </w:r>
      <w:r w:rsidRPr="00AC2A2E">
        <w:rPr>
          <w:rFonts w:asciiTheme="minorHAnsi" w:hAnsiTheme="minorHAnsi"/>
        </w:rPr>
        <w:t>s as well as education of those at risk a</w:t>
      </w:r>
      <w:r w:rsidR="00C85753">
        <w:rPr>
          <w:rFonts w:asciiTheme="minorHAnsi" w:hAnsiTheme="minorHAnsi"/>
        </w:rPr>
        <w:t>s well as</w:t>
      </w:r>
      <w:r w:rsidRPr="00AC2A2E">
        <w:rPr>
          <w:rFonts w:asciiTheme="minorHAnsi" w:hAnsiTheme="minorHAnsi"/>
        </w:rPr>
        <w:t xml:space="preserve"> the general public</w:t>
      </w:r>
      <w:r w:rsidRPr="00B567D7">
        <w:rPr>
          <w:rFonts w:asciiTheme="minorHAnsi" w:hAnsiTheme="minorHAnsi"/>
        </w:rPr>
        <w:t xml:space="preserve">. </w:t>
      </w:r>
      <w:r w:rsidRPr="00AC2A2E">
        <w:rPr>
          <w:rFonts w:asciiTheme="minorHAnsi" w:hAnsiTheme="minorHAnsi" w:cs="Times New Roman"/>
        </w:rPr>
        <w:t xml:space="preserve">It is hoped that along with contacting the case, partner notification will identify those at risk, reduce disease transmission/re-infection and ultimately prevent disease sequelae. </w:t>
      </w:r>
    </w:p>
    <w:p w14:paraId="5F035CF6" w14:textId="3C7D4DED" w:rsidR="00BD648B" w:rsidRPr="00C85753" w:rsidRDefault="000159DF" w:rsidP="00ED740A">
      <w:pPr>
        <w:pStyle w:val="Heading2"/>
      </w:pPr>
      <w:bookmarkStart w:id="23" w:name="_Toc219273882"/>
      <w:r w:rsidRPr="00541094">
        <w:t>Management of a case</w:t>
      </w:r>
      <w:bookmarkEnd w:id="23"/>
    </w:p>
    <w:p w14:paraId="1F1234F7" w14:textId="34A5F742" w:rsidR="00BD648B" w:rsidRPr="009D1F0E" w:rsidRDefault="00BD648B" w:rsidP="00C85753">
      <w:pPr>
        <w:pStyle w:val="ListParagraph"/>
        <w:spacing w:after="0" w:line="240" w:lineRule="auto"/>
        <w:rPr>
          <w:u w:val="single"/>
        </w:rPr>
      </w:pPr>
      <w:r w:rsidRPr="009D1F0E">
        <w:rPr>
          <w:u w:val="single"/>
        </w:rPr>
        <w:t>Ordering Health Care Provider</w:t>
      </w:r>
      <w:r w:rsidR="00010669" w:rsidRPr="009D1F0E">
        <w:rPr>
          <w:u w:val="single"/>
        </w:rPr>
        <w:t>:</w:t>
      </w:r>
    </w:p>
    <w:p w14:paraId="1886BB47" w14:textId="53B997F3" w:rsidR="00BD648B" w:rsidRPr="00BD648B" w:rsidRDefault="008D138C" w:rsidP="001D5707">
      <w:pPr>
        <w:pStyle w:val="Default"/>
        <w:numPr>
          <w:ilvl w:val="0"/>
          <w:numId w:val="2"/>
        </w:numPr>
        <w:spacing w:line="276" w:lineRule="auto"/>
        <w:rPr>
          <w:rFonts w:asciiTheme="minorHAnsi" w:hAnsiTheme="minorHAnsi" w:cs="Times New Roman"/>
        </w:rPr>
      </w:pPr>
      <w:r w:rsidRPr="00BD648B">
        <w:rPr>
          <w:rFonts w:asciiTheme="minorHAnsi" w:hAnsiTheme="minorHAnsi"/>
        </w:rPr>
        <w:t>Notification of</w:t>
      </w:r>
      <w:r w:rsidR="00F91746">
        <w:rPr>
          <w:rFonts w:asciiTheme="minorHAnsi" w:hAnsiTheme="minorHAnsi"/>
        </w:rPr>
        <w:t xml:space="preserve"> the </w:t>
      </w:r>
      <w:r w:rsidR="00A74C88">
        <w:rPr>
          <w:rFonts w:asciiTheme="minorHAnsi" w:hAnsiTheme="minorHAnsi"/>
        </w:rPr>
        <w:t>diagnosis</w:t>
      </w:r>
      <w:r w:rsidR="00F91746">
        <w:rPr>
          <w:rFonts w:asciiTheme="minorHAnsi" w:hAnsiTheme="minorHAnsi"/>
        </w:rPr>
        <w:t xml:space="preserve"> to</w:t>
      </w:r>
      <w:r w:rsidRPr="00BD648B">
        <w:rPr>
          <w:rFonts w:asciiTheme="minorHAnsi" w:hAnsiTheme="minorHAnsi"/>
        </w:rPr>
        <w:t xml:space="preserve"> the infected </w:t>
      </w:r>
      <w:r w:rsidR="00A74C88">
        <w:rPr>
          <w:rFonts w:asciiTheme="minorHAnsi" w:hAnsiTheme="minorHAnsi"/>
        </w:rPr>
        <w:t>client</w:t>
      </w:r>
      <w:r w:rsidRPr="00BD648B">
        <w:rPr>
          <w:rFonts w:asciiTheme="minorHAnsi" w:hAnsiTheme="minorHAnsi"/>
        </w:rPr>
        <w:t xml:space="preserve"> should be carried out by the ordering health care provider as soon as possible to prevent further transmission and to arrange treatment.</w:t>
      </w:r>
      <w:r w:rsidR="00BD648B" w:rsidRPr="00BD648B">
        <w:rPr>
          <w:rFonts w:asciiTheme="minorHAnsi" w:hAnsiTheme="minorHAnsi" w:cs="Times New Roman"/>
        </w:rPr>
        <w:t xml:space="preserve"> </w:t>
      </w:r>
      <w:r w:rsidR="00BD648B">
        <w:rPr>
          <w:rFonts w:asciiTheme="minorHAnsi" w:hAnsiTheme="minorHAnsi" w:cs="Times New Roman"/>
        </w:rPr>
        <w:t xml:space="preserve">For treatment direction please see </w:t>
      </w:r>
      <w:hyperlink w:anchor="_Treatment_(7)" w:history="1">
        <w:r w:rsidR="00BD648B" w:rsidRPr="00010669">
          <w:rPr>
            <w:rStyle w:val="Hyperlink"/>
            <w:rFonts w:asciiTheme="minorHAnsi" w:hAnsiTheme="minorHAnsi" w:cs="Times New Roman"/>
            <w:bCs/>
          </w:rPr>
          <w:t>Treatment</w:t>
        </w:r>
      </w:hyperlink>
      <w:r w:rsidR="00F91746" w:rsidRPr="00010669">
        <w:rPr>
          <w:rFonts w:asciiTheme="minorHAnsi" w:hAnsiTheme="minorHAnsi" w:cs="Times New Roman"/>
          <w:bCs/>
        </w:rPr>
        <w:t xml:space="preserve"> </w:t>
      </w:r>
      <w:r w:rsidR="00F91746" w:rsidRPr="00F91746">
        <w:rPr>
          <w:rFonts w:asciiTheme="minorHAnsi" w:hAnsiTheme="minorHAnsi" w:cs="Times New Roman"/>
        </w:rPr>
        <w:t>section</w:t>
      </w:r>
      <w:r w:rsidR="00BD648B">
        <w:rPr>
          <w:rFonts w:asciiTheme="minorHAnsi" w:hAnsiTheme="minorHAnsi" w:cs="Times New Roman"/>
        </w:rPr>
        <w:t>.</w:t>
      </w:r>
    </w:p>
    <w:p w14:paraId="03CB5A94" w14:textId="4E52D9E2" w:rsidR="003E3751" w:rsidRDefault="003E3751"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 xml:space="preserve">If cost is a barrier </w:t>
      </w:r>
      <w:r w:rsidR="00010669">
        <w:rPr>
          <w:rFonts w:asciiTheme="minorHAnsi" w:hAnsiTheme="minorHAnsi" w:cs="Times New Roman"/>
        </w:rPr>
        <w:t>for</w:t>
      </w:r>
      <w:r w:rsidR="00F91746">
        <w:rPr>
          <w:rFonts w:asciiTheme="minorHAnsi" w:hAnsiTheme="minorHAnsi" w:cs="Times New Roman"/>
        </w:rPr>
        <w:t xml:space="preserve"> treatment</w:t>
      </w:r>
      <w:r w:rsidR="00BD648B" w:rsidRPr="00BD648B">
        <w:rPr>
          <w:rFonts w:asciiTheme="minorHAnsi" w:hAnsiTheme="minorHAnsi" w:cs="Times New Roman"/>
        </w:rPr>
        <w:t xml:space="preserve"> </w:t>
      </w:r>
      <w:r>
        <w:rPr>
          <w:rFonts w:asciiTheme="minorHAnsi" w:hAnsiTheme="minorHAnsi" w:cs="Times New Roman"/>
        </w:rPr>
        <w:t>the ordering provider can</w:t>
      </w:r>
      <w:r w:rsidRPr="003E3751">
        <w:rPr>
          <w:rFonts w:asciiTheme="minorHAnsi" w:hAnsiTheme="minorHAnsi" w:cs="Times New Roman"/>
        </w:rPr>
        <w:t xml:space="preserve"> write “STI</w:t>
      </w:r>
      <w:r>
        <w:rPr>
          <w:rFonts w:asciiTheme="minorHAnsi" w:hAnsiTheme="minorHAnsi" w:cs="Times New Roman"/>
        </w:rPr>
        <w:t xml:space="preserve"> program” on the prescription </w:t>
      </w:r>
      <w:r w:rsidR="00BD648B" w:rsidRPr="003E3751">
        <w:rPr>
          <w:rFonts w:asciiTheme="minorHAnsi" w:hAnsiTheme="minorHAnsi" w:cs="Times New Roman"/>
        </w:rPr>
        <w:t xml:space="preserve">and </w:t>
      </w:r>
      <w:r>
        <w:rPr>
          <w:rFonts w:asciiTheme="minorHAnsi" w:hAnsiTheme="minorHAnsi" w:cs="Times New Roman"/>
        </w:rPr>
        <w:t>the client will be enrolled in</w:t>
      </w:r>
      <w:r w:rsidR="00C85753">
        <w:rPr>
          <w:rFonts w:asciiTheme="minorHAnsi" w:hAnsiTheme="minorHAnsi" w:cs="Times New Roman"/>
        </w:rPr>
        <w:t>to</w:t>
      </w:r>
      <w:r>
        <w:rPr>
          <w:rFonts w:asciiTheme="minorHAnsi" w:hAnsiTheme="minorHAnsi" w:cs="Times New Roman"/>
        </w:rPr>
        <w:t xml:space="preserve"> the program at the pharmacy. The medication will be provided at </w:t>
      </w:r>
      <w:r w:rsidRPr="009D1F0E">
        <w:rPr>
          <w:rFonts w:asciiTheme="minorHAnsi" w:hAnsiTheme="minorHAnsi" w:cs="Times New Roman"/>
          <w:b/>
          <w:bCs/>
        </w:rPr>
        <w:t>no cost to the client</w:t>
      </w:r>
      <w:r>
        <w:rPr>
          <w:rFonts w:asciiTheme="minorHAnsi" w:hAnsiTheme="minorHAnsi" w:cs="Times New Roman"/>
        </w:rPr>
        <w:t>.</w:t>
      </w:r>
    </w:p>
    <w:p w14:paraId="08756022" w14:textId="66FD5991" w:rsidR="009D1F0E" w:rsidRPr="009D1F0E" w:rsidRDefault="009D1F0E"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 xml:space="preserve">Test clients </w:t>
      </w:r>
      <w:r w:rsidRPr="00070CE4">
        <w:rPr>
          <w:rFonts w:asciiTheme="minorHAnsi" w:hAnsiTheme="minorHAnsi" w:cs="Times New Roman"/>
        </w:rPr>
        <w:t>for HIV and other ST</w:t>
      </w:r>
      <w:r>
        <w:rPr>
          <w:rFonts w:asciiTheme="minorHAnsi" w:hAnsiTheme="minorHAnsi" w:cs="Times New Roman"/>
        </w:rPr>
        <w:t>BBI</w:t>
      </w:r>
      <w:r w:rsidRPr="00070CE4">
        <w:rPr>
          <w:rFonts w:asciiTheme="minorHAnsi" w:hAnsiTheme="minorHAnsi" w:cs="Times New Roman"/>
        </w:rPr>
        <w:t xml:space="preserve"> e.g., syphilis, </w:t>
      </w:r>
      <w:r>
        <w:rPr>
          <w:rFonts w:asciiTheme="minorHAnsi" w:hAnsiTheme="minorHAnsi" w:cs="Times New Roman"/>
        </w:rPr>
        <w:t>HIV if not done recently.</w:t>
      </w:r>
    </w:p>
    <w:p w14:paraId="2B5E93B1" w14:textId="30C1CBD0" w:rsidR="008D138C" w:rsidRPr="00707CD1" w:rsidRDefault="003E3751" w:rsidP="001D5707">
      <w:pPr>
        <w:pStyle w:val="Default"/>
        <w:numPr>
          <w:ilvl w:val="0"/>
          <w:numId w:val="2"/>
        </w:numPr>
        <w:spacing w:line="276" w:lineRule="auto"/>
        <w:rPr>
          <w:rFonts w:asciiTheme="minorHAnsi" w:hAnsiTheme="minorHAnsi" w:cs="Times New Roman"/>
          <w:color w:val="000000" w:themeColor="text1"/>
        </w:rPr>
      </w:pPr>
      <w:r w:rsidRPr="00707CD1">
        <w:rPr>
          <w:rFonts w:asciiTheme="minorHAnsi" w:hAnsiTheme="minorHAnsi" w:cs="Times New Roman"/>
          <w:color w:val="000000" w:themeColor="text1"/>
        </w:rPr>
        <w:lastRenderedPageBreak/>
        <w:t>All</w:t>
      </w:r>
      <w:r w:rsidR="008D138C" w:rsidRPr="00707CD1">
        <w:rPr>
          <w:rFonts w:asciiTheme="minorHAnsi" w:hAnsiTheme="minorHAnsi" w:cs="Times New Roman"/>
          <w:color w:val="000000" w:themeColor="text1"/>
        </w:rPr>
        <w:t xml:space="preserve"> clients should be instructed about infection transmission. Clients should be counselled about the </w:t>
      </w:r>
      <w:r w:rsidR="008D138C" w:rsidRPr="009D1F0E">
        <w:rPr>
          <w:rFonts w:asciiTheme="minorHAnsi" w:hAnsiTheme="minorHAnsi" w:cs="Times New Roman"/>
          <w:b/>
          <w:bCs/>
          <w:color w:val="000000" w:themeColor="text1"/>
        </w:rPr>
        <w:t xml:space="preserve">importance of </w:t>
      </w:r>
      <w:r w:rsidR="00010669" w:rsidRPr="009D1F0E">
        <w:rPr>
          <w:rFonts w:asciiTheme="minorHAnsi" w:hAnsiTheme="minorHAnsi" w:cs="Times New Roman"/>
          <w:b/>
          <w:bCs/>
          <w:color w:val="000000" w:themeColor="text1"/>
        </w:rPr>
        <w:t>refraining</w:t>
      </w:r>
      <w:r w:rsidR="008D138C" w:rsidRPr="009D1F0E">
        <w:rPr>
          <w:rFonts w:asciiTheme="minorHAnsi" w:hAnsiTheme="minorHAnsi" w:cs="Times New Roman"/>
          <w:b/>
          <w:bCs/>
          <w:color w:val="000000" w:themeColor="text1"/>
        </w:rPr>
        <w:t xml:space="preserve"> from unprotected </w:t>
      </w:r>
      <w:r w:rsidR="00C85753" w:rsidRPr="009D1F0E">
        <w:rPr>
          <w:rFonts w:asciiTheme="minorHAnsi" w:hAnsiTheme="minorHAnsi" w:cs="Times New Roman"/>
          <w:b/>
          <w:bCs/>
          <w:color w:val="000000" w:themeColor="text1"/>
        </w:rPr>
        <w:t>sex</w:t>
      </w:r>
      <w:r w:rsidR="008D138C" w:rsidRPr="009D1F0E">
        <w:rPr>
          <w:rFonts w:asciiTheme="minorHAnsi" w:hAnsiTheme="minorHAnsi" w:cs="Times New Roman"/>
          <w:b/>
          <w:bCs/>
          <w:color w:val="000000" w:themeColor="text1"/>
        </w:rPr>
        <w:t xml:space="preserve"> until 7 days after completion of treatment of both</w:t>
      </w:r>
      <w:r w:rsidR="00A74C88" w:rsidRPr="009D1F0E">
        <w:rPr>
          <w:rFonts w:asciiTheme="minorHAnsi" w:hAnsiTheme="minorHAnsi" w:cs="Times New Roman"/>
          <w:b/>
          <w:bCs/>
          <w:color w:val="000000" w:themeColor="text1"/>
        </w:rPr>
        <w:t xml:space="preserve"> the</w:t>
      </w:r>
      <w:r w:rsidR="008D138C" w:rsidRPr="009D1F0E">
        <w:rPr>
          <w:rFonts w:asciiTheme="minorHAnsi" w:hAnsiTheme="minorHAnsi" w:cs="Times New Roman"/>
          <w:b/>
          <w:bCs/>
          <w:color w:val="000000" w:themeColor="text1"/>
        </w:rPr>
        <w:t xml:space="preserve"> case and partner(s).</w:t>
      </w:r>
      <w:r w:rsidR="008D138C" w:rsidRPr="00707CD1">
        <w:rPr>
          <w:rFonts w:asciiTheme="minorHAnsi" w:hAnsiTheme="minorHAnsi" w:cs="Times New Roman"/>
          <w:color w:val="000000" w:themeColor="text1"/>
        </w:rPr>
        <w:t xml:space="preserve"> </w:t>
      </w:r>
    </w:p>
    <w:p w14:paraId="6654C26B" w14:textId="490A4C86" w:rsidR="00C91998" w:rsidRPr="003E3751" w:rsidRDefault="00C91998"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Test for cure</w:t>
      </w:r>
      <w:r w:rsidR="00707CD1">
        <w:rPr>
          <w:rFonts w:asciiTheme="minorHAnsi" w:hAnsiTheme="minorHAnsi" w:cs="Times New Roman"/>
        </w:rPr>
        <w:t xml:space="preserve"> is not routinely required; however,</w:t>
      </w:r>
      <w:r>
        <w:rPr>
          <w:rFonts w:asciiTheme="minorHAnsi" w:hAnsiTheme="minorHAnsi" w:cs="Times New Roman"/>
        </w:rPr>
        <w:t xml:space="preserve"> </w:t>
      </w:r>
      <w:r w:rsidR="00707CD1">
        <w:rPr>
          <w:rFonts w:asciiTheme="minorHAnsi" w:hAnsiTheme="minorHAnsi" w:cs="Times New Roman"/>
        </w:rPr>
        <w:t>for pregnant women</w:t>
      </w:r>
      <w:r w:rsidR="00F76369">
        <w:rPr>
          <w:rFonts w:asciiTheme="minorHAnsi" w:hAnsiTheme="minorHAnsi" w:cs="Times New Roman"/>
        </w:rPr>
        <w:t xml:space="preserve">, </w:t>
      </w:r>
      <w:r w:rsidR="00010669">
        <w:rPr>
          <w:rFonts w:asciiTheme="minorHAnsi" w:hAnsiTheme="minorHAnsi" w:cs="Times New Roman"/>
        </w:rPr>
        <w:t xml:space="preserve">if an </w:t>
      </w:r>
      <w:r w:rsidR="00F76369">
        <w:rPr>
          <w:rFonts w:asciiTheme="minorHAnsi" w:hAnsiTheme="minorHAnsi" w:cs="Times New Roman"/>
        </w:rPr>
        <w:t>alternative treatment regimen (erythromycin) is used,</w:t>
      </w:r>
      <w:r w:rsidR="00707CD1">
        <w:rPr>
          <w:rFonts w:asciiTheme="minorHAnsi" w:hAnsiTheme="minorHAnsi" w:cs="Times New Roman"/>
        </w:rPr>
        <w:t xml:space="preserve"> or any situation where treatment adherence is in doubt</w:t>
      </w:r>
      <w:r w:rsidR="00C85753">
        <w:rPr>
          <w:rFonts w:asciiTheme="minorHAnsi" w:hAnsiTheme="minorHAnsi" w:cs="Times New Roman"/>
        </w:rPr>
        <w:t xml:space="preserve">, </w:t>
      </w:r>
      <w:r w:rsidR="00707CD1">
        <w:rPr>
          <w:rFonts w:asciiTheme="minorHAnsi" w:hAnsiTheme="minorHAnsi" w:cs="Times New Roman"/>
        </w:rPr>
        <w:t>a test for cure should be done</w:t>
      </w:r>
      <w:r>
        <w:rPr>
          <w:rFonts w:asciiTheme="minorHAnsi" w:hAnsiTheme="minorHAnsi" w:cs="Times New Roman"/>
        </w:rPr>
        <w:t xml:space="preserve"> </w:t>
      </w:r>
      <w:r w:rsidR="00C85753">
        <w:rPr>
          <w:rFonts w:asciiTheme="minorHAnsi" w:hAnsiTheme="minorHAnsi" w:cs="Times New Roman"/>
        </w:rPr>
        <w:t>3-</w:t>
      </w:r>
      <w:r>
        <w:rPr>
          <w:rFonts w:asciiTheme="minorHAnsi" w:hAnsiTheme="minorHAnsi" w:cs="Times New Roman"/>
        </w:rPr>
        <w:t>4 weeks</w:t>
      </w:r>
      <w:r w:rsidR="001F08AA">
        <w:rPr>
          <w:rFonts w:asciiTheme="minorHAnsi" w:hAnsiTheme="minorHAnsi" w:cs="Times New Roman"/>
        </w:rPr>
        <w:t xml:space="preserve"> </w:t>
      </w:r>
      <w:r w:rsidR="00C85753">
        <w:rPr>
          <w:rFonts w:asciiTheme="minorHAnsi" w:hAnsiTheme="minorHAnsi" w:cs="Times New Roman"/>
        </w:rPr>
        <w:t xml:space="preserve"> after treatment completion </w:t>
      </w:r>
      <w:r w:rsidR="001F08AA">
        <w:rPr>
          <w:rFonts w:asciiTheme="minorHAnsi" w:hAnsiTheme="minorHAnsi" w:cs="Times New Roman"/>
        </w:rPr>
        <w:t xml:space="preserve">(see </w:t>
      </w:r>
      <w:hyperlink w:anchor="_Treatment_(7)" w:history="1">
        <w:r w:rsidR="001F08AA" w:rsidRPr="00010669">
          <w:rPr>
            <w:rStyle w:val="Hyperlink"/>
            <w:rFonts w:asciiTheme="minorHAnsi" w:hAnsiTheme="minorHAnsi" w:cs="Times New Roman"/>
          </w:rPr>
          <w:t>Treatment</w:t>
        </w:r>
      </w:hyperlink>
      <w:r w:rsidR="001F08AA">
        <w:rPr>
          <w:rFonts w:asciiTheme="minorHAnsi" w:hAnsiTheme="minorHAnsi" w:cs="Times New Roman"/>
        </w:rPr>
        <w:t xml:space="preserve"> section for more information)</w:t>
      </w:r>
      <w:r>
        <w:rPr>
          <w:rFonts w:asciiTheme="minorHAnsi" w:hAnsiTheme="minorHAnsi" w:cs="Times New Roman"/>
        </w:rPr>
        <w:t>.</w:t>
      </w:r>
    </w:p>
    <w:p w14:paraId="5CB369E5" w14:textId="2503488B" w:rsidR="008D138C" w:rsidRPr="00BD648B" w:rsidRDefault="008D138C" w:rsidP="001D5707">
      <w:pPr>
        <w:pStyle w:val="ListParagraph"/>
        <w:numPr>
          <w:ilvl w:val="0"/>
          <w:numId w:val="2"/>
        </w:numPr>
        <w:spacing w:after="0"/>
      </w:pPr>
      <w:r w:rsidRPr="003E3751">
        <w:rPr>
          <w:rFonts w:cs="Times New Roman"/>
        </w:rPr>
        <w:t>Clients should be notified that public health nursing</w:t>
      </w:r>
      <w:r w:rsidR="00F57758">
        <w:rPr>
          <w:rFonts w:cs="Times New Roman"/>
        </w:rPr>
        <w:t xml:space="preserve"> (PHN)</w:t>
      </w:r>
      <w:r w:rsidRPr="003E3751">
        <w:rPr>
          <w:rFonts w:cs="Times New Roman"/>
        </w:rPr>
        <w:t xml:space="preserve"> will be calling to provide </w:t>
      </w:r>
      <w:r w:rsidR="00A74C88">
        <w:rPr>
          <w:rFonts w:cs="Times New Roman"/>
        </w:rPr>
        <w:t xml:space="preserve">further </w:t>
      </w:r>
      <w:r w:rsidRPr="003E3751">
        <w:rPr>
          <w:rFonts w:cs="Times New Roman"/>
        </w:rPr>
        <w:t xml:space="preserve">education, immunizations and to collect information for confidential </w:t>
      </w:r>
      <w:r w:rsidR="00AC2A2E">
        <w:rPr>
          <w:rFonts w:cs="Times New Roman"/>
        </w:rPr>
        <w:t>partner</w:t>
      </w:r>
      <w:r w:rsidRPr="003E3751">
        <w:rPr>
          <w:rFonts w:cs="Times New Roman"/>
        </w:rPr>
        <w:t xml:space="preserve"> follow up.</w:t>
      </w:r>
    </w:p>
    <w:p w14:paraId="69F26D07" w14:textId="075E0B4F" w:rsidR="008D138C" w:rsidRPr="002C22DC" w:rsidRDefault="008D138C" w:rsidP="001D5707">
      <w:pPr>
        <w:pStyle w:val="ListParagraph"/>
        <w:numPr>
          <w:ilvl w:val="0"/>
          <w:numId w:val="2"/>
        </w:numPr>
        <w:spacing w:after="0"/>
      </w:pPr>
      <w:r w:rsidRPr="003E3751">
        <w:rPr>
          <w:rFonts w:cs="Times New Roman"/>
        </w:rPr>
        <w:t>Once the client is notified</w:t>
      </w:r>
      <w:r w:rsidR="00BD648B" w:rsidRPr="003E3751">
        <w:rPr>
          <w:rFonts w:cs="Times New Roman"/>
        </w:rPr>
        <w:t xml:space="preserve"> and treatment has been arranged,</w:t>
      </w:r>
      <w:r w:rsidRPr="003E3751">
        <w:rPr>
          <w:rFonts w:cs="Times New Roman"/>
        </w:rPr>
        <w:t xml:space="preserve"> the ordering health care provider should contact the Chief Public Health Office</w:t>
      </w:r>
      <w:r w:rsidR="00BD648B" w:rsidRPr="003E3751">
        <w:rPr>
          <w:rFonts w:cs="Times New Roman"/>
        </w:rPr>
        <w:t xml:space="preserve"> using the </w:t>
      </w:r>
      <w:r w:rsidR="00811754">
        <w:rPr>
          <w:rFonts w:cs="Times New Roman"/>
        </w:rPr>
        <w:t>c</w:t>
      </w:r>
      <w:r w:rsidR="00010669">
        <w:rPr>
          <w:rFonts w:cs="Times New Roman"/>
        </w:rPr>
        <w:t xml:space="preserve">ommunicable </w:t>
      </w:r>
      <w:r w:rsidR="00811754">
        <w:rPr>
          <w:rFonts w:cs="Times New Roman"/>
        </w:rPr>
        <w:t>di</w:t>
      </w:r>
      <w:r w:rsidR="00010669">
        <w:rPr>
          <w:rFonts w:cs="Times New Roman"/>
        </w:rPr>
        <w:t>sease</w:t>
      </w:r>
      <w:r w:rsidR="00811754">
        <w:rPr>
          <w:rFonts w:cs="Times New Roman"/>
        </w:rPr>
        <w:t xml:space="preserve"> </w:t>
      </w:r>
      <w:r w:rsidR="00010669">
        <w:rPr>
          <w:rFonts w:cs="Times New Roman"/>
        </w:rPr>
        <w:t xml:space="preserve">(CD) </w:t>
      </w:r>
      <w:r w:rsidR="00811754">
        <w:rPr>
          <w:rFonts w:cs="Times New Roman"/>
        </w:rPr>
        <w:t xml:space="preserve"> c</w:t>
      </w:r>
      <w:r w:rsidR="00010669">
        <w:rPr>
          <w:rFonts w:cs="Times New Roman"/>
        </w:rPr>
        <w:t>o</w:t>
      </w:r>
      <w:r w:rsidR="00811754">
        <w:rPr>
          <w:rFonts w:cs="Times New Roman"/>
        </w:rPr>
        <w:t>-</w:t>
      </w:r>
      <w:r w:rsidR="00010669">
        <w:rPr>
          <w:rFonts w:cs="Times New Roman"/>
        </w:rPr>
        <w:t>ordinator’s</w:t>
      </w:r>
      <w:r w:rsidR="00BD648B" w:rsidRPr="003E3751">
        <w:rPr>
          <w:rFonts w:cs="Times New Roman"/>
        </w:rPr>
        <w:t xml:space="preserve"> confidential voice mail at 902 620 3886</w:t>
      </w:r>
      <w:r w:rsidR="00BE7163">
        <w:rPr>
          <w:rFonts w:cs="Times New Roman"/>
        </w:rPr>
        <w:t xml:space="preserve"> or </w:t>
      </w:r>
      <w:r w:rsidR="00010669">
        <w:rPr>
          <w:rFonts w:cs="Times New Roman"/>
        </w:rPr>
        <w:t xml:space="preserve">notify the </w:t>
      </w:r>
      <w:r w:rsidR="00BE7163">
        <w:rPr>
          <w:rFonts w:cs="Times New Roman"/>
        </w:rPr>
        <w:t xml:space="preserve">physician on call </w:t>
      </w:r>
      <w:r w:rsidR="00BD648B" w:rsidRPr="003E3751">
        <w:rPr>
          <w:rFonts w:cs="Times New Roman"/>
        </w:rPr>
        <w:t xml:space="preserve">to provide information </w:t>
      </w:r>
      <w:r w:rsidR="00010669" w:rsidRPr="003E3751">
        <w:rPr>
          <w:rFonts w:cs="Times New Roman"/>
        </w:rPr>
        <w:t xml:space="preserve">regarding </w:t>
      </w:r>
      <w:r w:rsidR="00010669">
        <w:rPr>
          <w:rFonts w:cs="Times New Roman"/>
        </w:rPr>
        <w:t>the</w:t>
      </w:r>
      <w:r w:rsidR="00010669" w:rsidRPr="00010669">
        <w:rPr>
          <w:rFonts w:cs="Times New Roman"/>
          <w:i/>
          <w:iCs/>
        </w:rPr>
        <w:t xml:space="preserve"> case name and MRN, the disease/lab findings,</w:t>
      </w:r>
      <w:r w:rsidR="00010669">
        <w:rPr>
          <w:rFonts w:cs="Times New Roman"/>
        </w:rPr>
        <w:t xml:space="preserve"> </w:t>
      </w:r>
      <w:r w:rsidR="00BD648B" w:rsidRPr="003E3751">
        <w:rPr>
          <w:rFonts w:cs="Times New Roman"/>
        </w:rPr>
        <w:t xml:space="preserve">the </w:t>
      </w:r>
      <w:r w:rsidR="00BD648B" w:rsidRPr="00BE7163">
        <w:rPr>
          <w:rFonts w:cs="Times New Roman"/>
          <w:i/>
        </w:rPr>
        <w:t>medication prescribed</w:t>
      </w:r>
      <w:r w:rsidR="00BD648B" w:rsidRPr="003E3751">
        <w:rPr>
          <w:rFonts w:cs="Times New Roman"/>
        </w:rPr>
        <w:t xml:space="preserve"> and the </w:t>
      </w:r>
      <w:r w:rsidR="00BD648B" w:rsidRPr="00BE7163">
        <w:rPr>
          <w:rFonts w:cs="Times New Roman"/>
          <w:i/>
        </w:rPr>
        <w:t>phone number of the client</w:t>
      </w:r>
      <w:r w:rsidR="009D1F0E">
        <w:rPr>
          <w:rFonts w:cs="Times New Roman"/>
          <w:i/>
        </w:rPr>
        <w:t>.</w:t>
      </w:r>
    </w:p>
    <w:p w14:paraId="0545CD71" w14:textId="10F41E43" w:rsidR="00811754" w:rsidRPr="00124342" w:rsidRDefault="002C22DC" w:rsidP="001D5707">
      <w:pPr>
        <w:pStyle w:val="ListParagraph"/>
        <w:numPr>
          <w:ilvl w:val="0"/>
          <w:numId w:val="2"/>
        </w:numPr>
        <w:spacing w:after="0"/>
        <w:rPr>
          <w:b/>
          <w:bCs/>
        </w:rPr>
      </w:pPr>
      <w:r w:rsidRPr="00010669">
        <w:rPr>
          <w:rFonts w:cs="Times New Roman"/>
          <w:b/>
          <w:bCs/>
        </w:rPr>
        <w:t>PHN follow-up will be delayed if ordering provider does not notify CPHO regarding the case.</w:t>
      </w:r>
    </w:p>
    <w:p w14:paraId="7765FAC0" w14:textId="77777777" w:rsidR="00811754" w:rsidRDefault="00811754" w:rsidP="00F57758">
      <w:pPr>
        <w:pStyle w:val="ListParagraph"/>
        <w:spacing w:after="0"/>
        <w:rPr>
          <w:rFonts w:cs="Times New Roman"/>
        </w:rPr>
      </w:pPr>
    </w:p>
    <w:p w14:paraId="7C955ED7" w14:textId="61E7098B" w:rsidR="00F57758" w:rsidRPr="009D1F0E" w:rsidRDefault="00F57758" w:rsidP="00F57758">
      <w:pPr>
        <w:pStyle w:val="ListParagraph"/>
        <w:spacing w:after="0"/>
        <w:rPr>
          <w:rFonts w:cs="Times New Roman"/>
          <w:u w:val="single"/>
        </w:rPr>
      </w:pPr>
      <w:r w:rsidRPr="009D1F0E">
        <w:rPr>
          <w:rFonts w:cs="Times New Roman"/>
          <w:u w:val="single"/>
        </w:rPr>
        <w:t>Chief Public Health Office</w:t>
      </w:r>
      <w:r w:rsidR="00010669" w:rsidRPr="009D1F0E">
        <w:rPr>
          <w:rFonts w:cs="Times New Roman"/>
          <w:u w:val="single"/>
        </w:rPr>
        <w:t>:</w:t>
      </w:r>
    </w:p>
    <w:p w14:paraId="457FF113" w14:textId="35681A93" w:rsidR="0064384D" w:rsidRPr="00557231" w:rsidRDefault="00A74C88" w:rsidP="00114037">
      <w:pPr>
        <w:pStyle w:val="ListParagraph"/>
        <w:numPr>
          <w:ilvl w:val="0"/>
          <w:numId w:val="6"/>
        </w:numPr>
        <w:spacing w:after="0"/>
        <w:rPr>
          <w:b/>
        </w:rPr>
      </w:pPr>
      <w:r>
        <w:t>Send</w:t>
      </w:r>
      <w:r w:rsidR="00811754">
        <w:t>s</w:t>
      </w:r>
      <w:r>
        <w:t xml:space="preserve"> the client information to </w:t>
      </w:r>
      <w:r w:rsidR="00CD1172">
        <w:t>the appropriate PHN clinic</w:t>
      </w:r>
      <w:r w:rsidR="00811754">
        <w:t>al</w:t>
      </w:r>
      <w:r w:rsidR="00CD1172">
        <w:t xml:space="preserve"> lead or designate </w:t>
      </w:r>
      <w:r>
        <w:t>for follow up once the ordering physician h</w:t>
      </w:r>
      <w:r w:rsidR="00CD1172">
        <w:t>as notified the CD co-o</w:t>
      </w:r>
      <w:r>
        <w:t>rdinator</w:t>
      </w:r>
      <w:r w:rsidR="00811754">
        <w:t xml:space="preserve"> or designate</w:t>
      </w:r>
      <w:r w:rsidR="00F57758">
        <w:t xml:space="preserve"> of</w:t>
      </w:r>
      <w:r>
        <w:t xml:space="preserve"> the</w:t>
      </w:r>
      <w:r w:rsidR="00F57758">
        <w:t xml:space="preserve"> treatment </w:t>
      </w:r>
      <w:r>
        <w:t xml:space="preserve">provided </w:t>
      </w:r>
      <w:r w:rsidR="00F57758">
        <w:t xml:space="preserve">and </w:t>
      </w:r>
      <w:r>
        <w:t xml:space="preserve">a working </w:t>
      </w:r>
      <w:r w:rsidR="00F57758">
        <w:t>phone number</w:t>
      </w:r>
      <w:r>
        <w:t xml:space="preserve"> for the client.</w:t>
      </w:r>
    </w:p>
    <w:p w14:paraId="5F82DBA2" w14:textId="77777777" w:rsidR="00EE3FF1" w:rsidRPr="00650C46" w:rsidRDefault="00EE3FF1" w:rsidP="00EE3FF1">
      <w:pPr>
        <w:pStyle w:val="Guidelinebullet2"/>
        <w:numPr>
          <w:ilvl w:val="0"/>
          <w:numId w:val="6"/>
        </w:numPr>
        <w:rPr>
          <w:rFonts w:asciiTheme="minorHAnsi" w:hAnsiTheme="minorHAnsi" w:cs="Times New Roman"/>
          <w:color w:val="000000"/>
        </w:rPr>
      </w:pPr>
      <w:r>
        <w:rPr>
          <w:rFonts w:asciiTheme="minorHAnsi" w:hAnsiTheme="minorHAnsi" w:cs="Times New Roman"/>
          <w:color w:val="000000"/>
        </w:rPr>
        <w:t>I</w:t>
      </w:r>
      <w:r w:rsidRPr="00650C46">
        <w:rPr>
          <w:rFonts w:asciiTheme="minorHAnsi" w:hAnsiTheme="minorHAnsi" w:cs="Times New Roman"/>
          <w:color w:val="000000"/>
        </w:rPr>
        <w:t xml:space="preserve">nitiates follow-up on all out of province/country referrals of cases and partner(s). </w:t>
      </w:r>
    </w:p>
    <w:p w14:paraId="4532324F" w14:textId="77777777" w:rsidR="00557231" w:rsidRPr="00557231" w:rsidRDefault="00557231" w:rsidP="00557231">
      <w:pPr>
        <w:pStyle w:val="ListParagraph"/>
        <w:spacing w:after="0"/>
        <w:ind w:left="1080"/>
        <w:rPr>
          <w:b/>
        </w:rPr>
      </w:pPr>
    </w:p>
    <w:p w14:paraId="58503EB1" w14:textId="47B50B68" w:rsidR="00BD648B" w:rsidRPr="00541094" w:rsidRDefault="00BD648B" w:rsidP="00BD648B">
      <w:pPr>
        <w:spacing w:after="0"/>
        <w:ind w:firstLine="720"/>
      </w:pPr>
      <w:r w:rsidRPr="009D1F0E">
        <w:rPr>
          <w:u w:val="single"/>
        </w:rPr>
        <w:t>Public Health Nursing</w:t>
      </w:r>
      <w:r w:rsidR="00A74C88">
        <w:t>:</w:t>
      </w:r>
    </w:p>
    <w:p w14:paraId="1981EF82" w14:textId="2829F0BB" w:rsidR="00F94438" w:rsidRPr="00BD648B" w:rsidRDefault="00E6623A"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Provide clients</w:t>
      </w:r>
      <w:r w:rsidR="00AC2A2E">
        <w:rPr>
          <w:rFonts w:asciiTheme="minorHAnsi" w:hAnsiTheme="minorHAnsi" w:cs="Times New Roman"/>
        </w:rPr>
        <w:t xml:space="preserve">/partners </w:t>
      </w:r>
      <w:r w:rsidR="00F94438" w:rsidRPr="00BD648B">
        <w:rPr>
          <w:rFonts w:asciiTheme="minorHAnsi" w:hAnsiTheme="minorHAnsi" w:cs="Times New Roman"/>
        </w:rPr>
        <w:t xml:space="preserve">with individualized STI prevention education, targeted at developing knowledge, skills, attitudes and behaviors to reduce the risk and prevent recurrences of STI. </w:t>
      </w:r>
      <w:r w:rsidR="00ED740A">
        <w:rPr>
          <w:rFonts w:asciiTheme="minorHAnsi" w:hAnsiTheme="minorHAnsi" w:cs="Times New Roman"/>
        </w:rPr>
        <w:t>See</w:t>
      </w:r>
      <w:r w:rsidR="007F32AD">
        <w:rPr>
          <w:rFonts w:asciiTheme="minorHAnsi" w:hAnsiTheme="minorHAnsi" w:cs="Times New Roman"/>
        </w:rPr>
        <w:t xml:space="preserve"> also</w:t>
      </w:r>
      <w:r w:rsidR="00ED740A">
        <w:rPr>
          <w:rFonts w:asciiTheme="minorHAnsi" w:hAnsiTheme="minorHAnsi" w:cs="Times New Roman"/>
        </w:rPr>
        <w:t xml:space="preserve"> </w:t>
      </w:r>
      <w:hyperlink w:anchor="_Management_of_contacts" w:history="1">
        <w:r w:rsidR="00ED740A" w:rsidRPr="00ED740A">
          <w:rPr>
            <w:rStyle w:val="Hyperlink"/>
            <w:rFonts w:asciiTheme="minorHAnsi" w:hAnsiTheme="minorHAnsi" w:cs="Times New Roman"/>
          </w:rPr>
          <w:t>Management of Contacts section</w:t>
        </w:r>
      </w:hyperlink>
    </w:p>
    <w:p w14:paraId="28CE1496" w14:textId="20A0A2FF" w:rsidR="000159DF" w:rsidRDefault="00E6623A"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Assess the immunization status and requirements for clients</w:t>
      </w:r>
      <w:r w:rsidR="00BD648B" w:rsidRPr="003E3751">
        <w:rPr>
          <w:rFonts w:asciiTheme="minorHAnsi" w:hAnsiTheme="minorHAnsi" w:cs="Times New Roman"/>
        </w:rPr>
        <w:t xml:space="preserve"> as per the</w:t>
      </w:r>
      <w:r w:rsidR="00F94438" w:rsidRPr="003E3751">
        <w:rPr>
          <w:rFonts w:asciiTheme="minorHAnsi" w:hAnsiTheme="minorHAnsi" w:cs="Times New Roman"/>
        </w:rPr>
        <w:t xml:space="preserve"> </w:t>
      </w:r>
      <w:hyperlink r:id="rId10" w:history="1">
        <w:r w:rsidR="00F94438" w:rsidRPr="0064384D">
          <w:rPr>
            <w:rStyle w:val="Hyperlink"/>
            <w:rFonts w:asciiTheme="minorHAnsi" w:hAnsiTheme="minorHAnsi" w:cs="Times New Roman"/>
            <w:i/>
            <w:iCs/>
          </w:rPr>
          <w:t xml:space="preserve">PEI </w:t>
        </w:r>
        <w:r w:rsidR="00BD648B" w:rsidRPr="0064384D">
          <w:rPr>
            <w:rStyle w:val="Hyperlink"/>
            <w:rFonts w:asciiTheme="minorHAnsi" w:hAnsiTheme="minorHAnsi" w:cs="Times New Roman"/>
            <w:i/>
            <w:iCs/>
          </w:rPr>
          <w:t xml:space="preserve">Adult </w:t>
        </w:r>
        <w:r w:rsidR="00F94438" w:rsidRPr="0064384D">
          <w:rPr>
            <w:rStyle w:val="Hyperlink"/>
            <w:rFonts w:asciiTheme="minorHAnsi" w:hAnsiTheme="minorHAnsi" w:cs="Times New Roman"/>
            <w:i/>
            <w:iCs/>
          </w:rPr>
          <w:t xml:space="preserve">Immunization </w:t>
        </w:r>
        <w:r w:rsidR="003E3751" w:rsidRPr="0064384D">
          <w:rPr>
            <w:rStyle w:val="Hyperlink"/>
            <w:rFonts w:asciiTheme="minorHAnsi" w:hAnsiTheme="minorHAnsi" w:cs="Times New Roman"/>
            <w:i/>
            <w:iCs/>
          </w:rPr>
          <w:t>Guide</w:t>
        </w:r>
      </w:hyperlink>
      <w:r w:rsidR="006F4AB1">
        <w:rPr>
          <w:rFonts w:asciiTheme="minorHAnsi" w:hAnsiTheme="minorHAnsi" w:cs="Times New Roman"/>
        </w:rPr>
        <w:t>.</w:t>
      </w:r>
      <w:r w:rsidR="00F94438" w:rsidRPr="003E3751">
        <w:rPr>
          <w:rFonts w:asciiTheme="minorHAnsi" w:hAnsiTheme="minorHAnsi" w:cs="Times New Roman"/>
        </w:rPr>
        <w:t xml:space="preserve"> </w:t>
      </w:r>
    </w:p>
    <w:p w14:paraId="4D0BA795" w14:textId="77777777" w:rsidR="00B86A4F" w:rsidRDefault="00E6623A"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Ask c</w:t>
      </w:r>
      <w:r w:rsidR="007318AE" w:rsidRPr="007318AE">
        <w:rPr>
          <w:rFonts w:asciiTheme="minorHAnsi" w:hAnsiTheme="minorHAnsi" w:cs="Times New Roman"/>
        </w:rPr>
        <w:t>lients to provide</w:t>
      </w:r>
      <w:r>
        <w:rPr>
          <w:rFonts w:asciiTheme="minorHAnsi" w:hAnsiTheme="minorHAnsi" w:cs="Times New Roman"/>
        </w:rPr>
        <w:t xml:space="preserve"> contact</w:t>
      </w:r>
      <w:r w:rsidR="007318AE" w:rsidRPr="007318AE">
        <w:rPr>
          <w:rFonts w:asciiTheme="minorHAnsi" w:hAnsiTheme="minorHAnsi" w:cs="Times New Roman"/>
        </w:rPr>
        <w:t xml:space="preserve"> information </w:t>
      </w:r>
      <w:r>
        <w:rPr>
          <w:rFonts w:asciiTheme="minorHAnsi" w:hAnsiTheme="minorHAnsi" w:cs="Times New Roman"/>
        </w:rPr>
        <w:t>for</w:t>
      </w:r>
      <w:r w:rsidR="007318AE" w:rsidRPr="007318AE">
        <w:rPr>
          <w:rFonts w:asciiTheme="minorHAnsi" w:hAnsiTheme="minorHAnsi" w:cs="Times New Roman"/>
        </w:rPr>
        <w:t xml:space="preserve"> sexual </w:t>
      </w:r>
      <w:r w:rsidR="00AC2A2E">
        <w:rPr>
          <w:rFonts w:asciiTheme="minorHAnsi" w:hAnsiTheme="minorHAnsi" w:cs="Times New Roman"/>
        </w:rPr>
        <w:t>partner</w:t>
      </w:r>
      <w:r w:rsidR="007318AE" w:rsidRPr="007318AE">
        <w:rPr>
          <w:rFonts w:asciiTheme="minorHAnsi" w:hAnsiTheme="minorHAnsi" w:cs="Times New Roman"/>
        </w:rPr>
        <w:t>s</w:t>
      </w:r>
      <w:r w:rsidR="007318AE">
        <w:rPr>
          <w:rFonts w:asciiTheme="minorHAnsi" w:hAnsiTheme="minorHAnsi" w:cs="Times New Roman"/>
        </w:rPr>
        <w:t xml:space="preserve"> (all forms of sexual contacts, e.g. oral, anal or vaginal, sex toys </w:t>
      </w:r>
      <w:r w:rsidR="007C3636">
        <w:rPr>
          <w:rFonts w:asciiTheme="minorHAnsi" w:hAnsiTheme="minorHAnsi" w:cs="Times New Roman"/>
        </w:rPr>
        <w:t>etc.</w:t>
      </w:r>
      <w:r w:rsidR="007318AE">
        <w:rPr>
          <w:rFonts w:asciiTheme="minorHAnsi" w:hAnsiTheme="minorHAnsi" w:cs="Times New Roman"/>
        </w:rPr>
        <w:t>)</w:t>
      </w:r>
      <w:r w:rsidR="007318AE" w:rsidRPr="007318AE">
        <w:rPr>
          <w:rFonts w:asciiTheme="minorHAnsi" w:hAnsiTheme="minorHAnsi" w:cs="Times New Roman"/>
        </w:rPr>
        <w:t xml:space="preserve"> in the past 60 days. </w:t>
      </w:r>
    </w:p>
    <w:p w14:paraId="04F8877A" w14:textId="2E2CB24C" w:rsidR="003E3751" w:rsidRDefault="00EE3FF1" w:rsidP="001D5707">
      <w:pPr>
        <w:pStyle w:val="Default"/>
        <w:numPr>
          <w:ilvl w:val="1"/>
          <w:numId w:val="2"/>
        </w:numPr>
        <w:spacing w:line="276" w:lineRule="auto"/>
        <w:rPr>
          <w:rFonts w:asciiTheme="minorHAnsi" w:hAnsiTheme="minorHAnsi" w:cs="Times New Roman"/>
        </w:rPr>
      </w:pPr>
      <w:r>
        <w:rPr>
          <w:rFonts w:asciiTheme="minorHAnsi" w:hAnsiTheme="minorHAnsi" w:cs="Times New Roman"/>
        </w:rPr>
        <w:t xml:space="preserve">If no partners in the past 60 </w:t>
      </w:r>
      <w:r w:rsidR="00811754">
        <w:rPr>
          <w:rFonts w:asciiTheme="minorHAnsi" w:hAnsiTheme="minorHAnsi" w:cs="Times New Roman"/>
        </w:rPr>
        <w:t>days,</w:t>
      </w:r>
      <w:r>
        <w:rPr>
          <w:rFonts w:asciiTheme="minorHAnsi" w:hAnsiTheme="minorHAnsi" w:cs="Times New Roman"/>
        </w:rPr>
        <w:t xml:space="preserve"> </w:t>
      </w:r>
      <w:r w:rsidR="00811754">
        <w:rPr>
          <w:rFonts w:asciiTheme="minorHAnsi" w:hAnsiTheme="minorHAnsi" w:cs="Times New Roman"/>
        </w:rPr>
        <w:t>then follow</w:t>
      </w:r>
      <w:r>
        <w:rPr>
          <w:rFonts w:asciiTheme="minorHAnsi" w:hAnsiTheme="minorHAnsi" w:cs="Times New Roman"/>
        </w:rPr>
        <w:t xml:space="preserve"> up with the last sexual partner.</w:t>
      </w:r>
    </w:p>
    <w:p w14:paraId="5FC822E5" w14:textId="4D4971F0" w:rsidR="00B86A4F" w:rsidRDefault="00B86A4F" w:rsidP="001D5707">
      <w:pPr>
        <w:pStyle w:val="Default"/>
        <w:numPr>
          <w:ilvl w:val="1"/>
          <w:numId w:val="2"/>
        </w:numPr>
        <w:spacing w:line="276" w:lineRule="auto"/>
        <w:rPr>
          <w:rFonts w:asciiTheme="minorHAnsi" w:hAnsiTheme="minorHAnsi" w:cs="Times New Roman"/>
        </w:rPr>
      </w:pPr>
      <w:r>
        <w:rPr>
          <w:rFonts w:asciiTheme="minorHAnsi" w:hAnsiTheme="minorHAnsi" w:cs="Times New Roman"/>
        </w:rPr>
        <w:t>If all partners traced test negative notify the partner prior to the trace-back period.</w:t>
      </w:r>
    </w:p>
    <w:p w14:paraId="4D7203A6" w14:textId="3A906856" w:rsidR="007318AE" w:rsidRDefault="00E731F2"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C</w:t>
      </w:r>
      <w:r w:rsidR="00E6623A">
        <w:rPr>
          <w:rFonts w:asciiTheme="minorHAnsi" w:hAnsiTheme="minorHAnsi" w:cs="Times New Roman"/>
        </w:rPr>
        <w:t>omplete case/</w:t>
      </w:r>
      <w:r w:rsidR="00AC2A2E">
        <w:rPr>
          <w:rFonts w:asciiTheme="minorHAnsi" w:hAnsiTheme="minorHAnsi" w:cs="Times New Roman"/>
        </w:rPr>
        <w:t>partner</w:t>
      </w:r>
      <w:r w:rsidR="00E6623A">
        <w:rPr>
          <w:rFonts w:asciiTheme="minorHAnsi" w:hAnsiTheme="minorHAnsi" w:cs="Times New Roman"/>
        </w:rPr>
        <w:t xml:space="preserve"> report forms</w:t>
      </w:r>
      <w:r w:rsidR="007F32AD">
        <w:rPr>
          <w:rFonts w:asciiTheme="minorHAnsi" w:hAnsiTheme="minorHAnsi" w:cs="Times New Roman"/>
        </w:rPr>
        <w:t xml:space="preserve"> and return to CPHO</w:t>
      </w:r>
      <w:r w:rsidR="00EE3FF1">
        <w:rPr>
          <w:rFonts w:asciiTheme="minorHAnsi" w:hAnsiTheme="minorHAnsi" w:cs="Times New Roman"/>
        </w:rPr>
        <w:t>.</w:t>
      </w:r>
    </w:p>
    <w:p w14:paraId="2A02D737" w14:textId="77777777" w:rsidR="007318AE" w:rsidRDefault="00E6623A"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Provide i</w:t>
      </w:r>
      <w:r w:rsidR="007318AE">
        <w:rPr>
          <w:rFonts w:asciiTheme="minorHAnsi" w:hAnsiTheme="minorHAnsi" w:cs="Times New Roman"/>
        </w:rPr>
        <w:t>nformation</w:t>
      </w:r>
      <w:r>
        <w:rPr>
          <w:rFonts w:asciiTheme="minorHAnsi" w:hAnsiTheme="minorHAnsi" w:cs="Times New Roman"/>
        </w:rPr>
        <w:t>/linkages</w:t>
      </w:r>
      <w:r w:rsidR="007318AE">
        <w:rPr>
          <w:rFonts w:asciiTheme="minorHAnsi" w:hAnsiTheme="minorHAnsi" w:cs="Times New Roman"/>
        </w:rPr>
        <w:t xml:space="preserve"> for other services as necessary e.g. sexual health clinic, mental health service, addictions services.</w:t>
      </w:r>
    </w:p>
    <w:p w14:paraId="4A071FA3" w14:textId="77777777" w:rsidR="007318AE" w:rsidRDefault="00AC2A2E"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lastRenderedPageBreak/>
        <w:t>Make every effort</w:t>
      </w:r>
      <w:r w:rsidR="007318AE">
        <w:rPr>
          <w:rFonts w:asciiTheme="minorHAnsi" w:hAnsiTheme="minorHAnsi" w:cs="Times New Roman"/>
        </w:rPr>
        <w:t xml:space="preserve"> to contact clients and their </w:t>
      </w:r>
      <w:r>
        <w:rPr>
          <w:rFonts w:asciiTheme="minorHAnsi" w:hAnsiTheme="minorHAnsi" w:cs="Times New Roman"/>
        </w:rPr>
        <w:t>partner</w:t>
      </w:r>
      <w:r w:rsidR="007318AE">
        <w:rPr>
          <w:rFonts w:asciiTheme="minorHAnsi" w:hAnsiTheme="minorHAnsi" w:cs="Times New Roman"/>
        </w:rPr>
        <w:t>s. A minimum of 3 contact attempts on different days at different times should be made. These can be made by phone, text, email or letter.</w:t>
      </w:r>
    </w:p>
    <w:p w14:paraId="0E559512" w14:textId="03C0E415" w:rsidR="00F57758" w:rsidRDefault="00F57758"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Consult with the CD co</w:t>
      </w:r>
      <w:r w:rsidR="00811754">
        <w:rPr>
          <w:rFonts w:asciiTheme="minorHAnsi" w:hAnsiTheme="minorHAnsi" w:cs="Times New Roman"/>
        </w:rPr>
        <w:t>-</w:t>
      </w:r>
      <w:r>
        <w:rPr>
          <w:rFonts w:asciiTheme="minorHAnsi" w:hAnsiTheme="minorHAnsi" w:cs="Times New Roman"/>
        </w:rPr>
        <w:t>ordinator at the CPHO for further options</w:t>
      </w:r>
      <w:r w:rsidR="00E731F2">
        <w:rPr>
          <w:rFonts w:asciiTheme="minorHAnsi" w:hAnsiTheme="minorHAnsi" w:cs="Times New Roman"/>
        </w:rPr>
        <w:t>.</w:t>
      </w:r>
    </w:p>
    <w:p w14:paraId="044499C0" w14:textId="1BE48738" w:rsidR="000E3203" w:rsidRDefault="00E6623A" w:rsidP="001D5707">
      <w:pPr>
        <w:pStyle w:val="Default"/>
        <w:numPr>
          <w:ilvl w:val="0"/>
          <w:numId w:val="2"/>
        </w:numPr>
        <w:spacing w:line="276" w:lineRule="auto"/>
        <w:rPr>
          <w:rFonts w:asciiTheme="minorHAnsi" w:hAnsiTheme="minorHAnsi" w:cs="Times New Roman"/>
        </w:rPr>
      </w:pPr>
      <w:r>
        <w:rPr>
          <w:rFonts w:asciiTheme="minorHAnsi" w:hAnsiTheme="minorHAnsi" w:cs="Times New Roman"/>
        </w:rPr>
        <w:t>S</w:t>
      </w:r>
      <w:r w:rsidR="000E3203">
        <w:rPr>
          <w:rFonts w:asciiTheme="minorHAnsi" w:hAnsiTheme="minorHAnsi" w:cs="Times New Roman"/>
        </w:rPr>
        <w:t>end the c</w:t>
      </w:r>
      <w:r w:rsidR="00AC2A2E">
        <w:rPr>
          <w:rFonts w:asciiTheme="minorHAnsi" w:hAnsiTheme="minorHAnsi" w:cs="Times New Roman"/>
        </w:rPr>
        <w:t>ase/partner</w:t>
      </w:r>
      <w:r w:rsidR="000E3203">
        <w:rPr>
          <w:rFonts w:asciiTheme="minorHAnsi" w:hAnsiTheme="minorHAnsi" w:cs="Times New Roman"/>
        </w:rPr>
        <w:t xml:space="preserve"> </w:t>
      </w:r>
      <w:r w:rsidR="001F08AA">
        <w:rPr>
          <w:rFonts w:asciiTheme="minorHAnsi" w:hAnsiTheme="minorHAnsi" w:cs="Times New Roman"/>
        </w:rPr>
        <w:t xml:space="preserve">form </w:t>
      </w:r>
      <w:r w:rsidR="000E3203">
        <w:rPr>
          <w:rFonts w:asciiTheme="minorHAnsi" w:hAnsiTheme="minorHAnsi" w:cs="Times New Roman"/>
        </w:rPr>
        <w:t>back to CPHO</w:t>
      </w:r>
      <w:r>
        <w:rPr>
          <w:rFonts w:asciiTheme="minorHAnsi" w:hAnsiTheme="minorHAnsi" w:cs="Times New Roman"/>
        </w:rPr>
        <w:t xml:space="preserve"> if contact has not been made.</w:t>
      </w:r>
    </w:p>
    <w:p w14:paraId="66973221" w14:textId="39F69AEF" w:rsidR="00EE3FF1" w:rsidRDefault="00EE3FF1" w:rsidP="001D5707">
      <w:pPr>
        <w:pStyle w:val="Guidelinebullet2"/>
        <w:spacing w:line="276" w:lineRule="auto"/>
        <w:ind w:firstLine="720"/>
        <w:rPr>
          <w:rFonts w:asciiTheme="minorHAnsi" w:hAnsiTheme="minorHAnsi" w:cs="Times New Roman"/>
          <w:color w:val="000000"/>
        </w:rPr>
      </w:pPr>
    </w:p>
    <w:p w14:paraId="25D1515F" w14:textId="77777777" w:rsidR="00650C46" w:rsidRPr="007318AE" w:rsidRDefault="00650C46" w:rsidP="00650C46">
      <w:pPr>
        <w:pStyle w:val="Default"/>
        <w:rPr>
          <w:rFonts w:asciiTheme="minorHAnsi" w:hAnsiTheme="minorHAnsi" w:cs="Times New Roman"/>
        </w:rPr>
      </w:pPr>
    </w:p>
    <w:p w14:paraId="16B7039C" w14:textId="4BA59554" w:rsidR="00ED740A" w:rsidRPr="00ED740A" w:rsidRDefault="00ED740A" w:rsidP="00124342">
      <w:pPr>
        <w:pStyle w:val="Heading1"/>
      </w:pPr>
      <w:bookmarkStart w:id="24" w:name="_Treatment_(7)"/>
      <w:bookmarkStart w:id="25" w:name="_Toc212720528"/>
      <w:bookmarkStart w:id="26" w:name="_Hlk218513827"/>
      <w:bookmarkStart w:id="27" w:name="_Toc219273883"/>
      <w:bookmarkEnd w:id="24"/>
      <w:r w:rsidRPr="00ED740A">
        <w:t>Treatment</w:t>
      </w:r>
      <w:bookmarkEnd w:id="25"/>
      <w:bookmarkEnd w:id="26"/>
      <w:bookmarkEnd w:id="27"/>
    </w:p>
    <w:p w14:paraId="7A85EA73" w14:textId="77777777" w:rsidR="00557231" w:rsidRDefault="00667868" w:rsidP="00557231">
      <w:pPr>
        <w:pStyle w:val="Default"/>
        <w:rPr>
          <w:rFonts w:asciiTheme="minorHAnsi" w:hAnsiTheme="minorHAnsi" w:cs="Times New Roman"/>
        </w:rPr>
      </w:pPr>
      <w:r>
        <w:rPr>
          <w:rFonts w:asciiTheme="minorHAnsi" w:hAnsiTheme="minorHAnsi" w:cs="Times New Roman"/>
        </w:rPr>
        <w:t xml:space="preserve">Complete treatment guidelines are available here: </w:t>
      </w:r>
      <w:hyperlink r:id="rId11" w:history="1">
        <w:r w:rsidR="000E3203" w:rsidRPr="0064384D">
          <w:rPr>
            <w:rStyle w:val="Hyperlink"/>
            <w:rFonts w:asciiTheme="minorHAnsi" w:hAnsiTheme="minorHAnsi" w:cs="Times New Roman"/>
            <w:i/>
          </w:rPr>
          <w:t>Canadian Guidelines on Sexually Transmitted Infections</w:t>
        </w:r>
        <w:r w:rsidR="000E3203" w:rsidRPr="0064384D">
          <w:rPr>
            <w:rStyle w:val="Hyperlink"/>
            <w:rFonts w:asciiTheme="minorHAnsi" w:hAnsiTheme="minorHAnsi" w:cs="Times New Roman"/>
          </w:rPr>
          <w:t xml:space="preserve"> </w:t>
        </w:r>
      </w:hyperlink>
      <w:r w:rsidR="00650C46" w:rsidRPr="00650C46">
        <w:rPr>
          <w:rFonts w:asciiTheme="minorHAnsi" w:hAnsiTheme="minorHAnsi" w:cs="Times New Roman"/>
        </w:rPr>
        <w:t xml:space="preserve"> </w:t>
      </w:r>
      <w:r w:rsidR="00080F40">
        <w:rPr>
          <w:rFonts w:asciiTheme="minorHAnsi" w:hAnsiTheme="minorHAnsi" w:cs="Times New Roman"/>
        </w:rPr>
        <w:t xml:space="preserve"> </w:t>
      </w:r>
    </w:p>
    <w:p w14:paraId="3E969016" w14:textId="77777777" w:rsidR="00811754" w:rsidRDefault="00811754" w:rsidP="00557231">
      <w:pPr>
        <w:pStyle w:val="Default"/>
        <w:rPr>
          <w:rFonts w:asciiTheme="minorHAnsi" w:hAnsiTheme="minorHAnsi" w:cs="Times New Roman"/>
        </w:rPr>
      </w:pPr>
    </w:p>
    <w:p w14:paraId="6D7DD318" w14:textId="77777777" w:rsidR="00ED740A" w:rsidRPr="007F32AD" w:rsidRDefault="00E731F2" w:rsidP="00FD34F2">
      <w:pPr>
        <w:rPr>
          <w:sz w:val="28"/>
          <w:szCs w:val="24"/>
        </w:rPr>
      </w:pPr>
      <w:r w:rsidRPr="007F32AD">
        <w:rPr>
          <w:sz w:val="28"/>
          <w:szCs w:val="24"/>
        </w:rPr>
        <w:t>Anogenital and conjunctival chlamydia</w:t>
      </w:r>
      <w:r w:rsidR="00352BD2" w:rsidRPr="007F32AD">
        <w:rPr>
          <w:sz w:val="28"/>
          <w:szCs w:val="24"/>
        </w:rPr>
        <w:t xml:space="preserve"> </w:t>
      </w:r>
    </w:p>
    <w:p w14:paraId="55507B82" w14:textId="70119494" w:rsidR="00352BD2" w:rsidRPr="00ED740A" w:rsidRDefault="00352BD2" w:rsidP="00ED740A">
      <w:pPr>
        <w:pStyle w:val="Heading3"/>
      </w:pPr>
      <w:r w:rsidRPr="00ED740A">
        <w:t xml:space="preserve"> </w:t>
      </w:r>
    </w:p>
    <w:p w14:paraId="0D8CEBAB" w14:textId="77777777" w:rsidR="00ED740A" w:rsidRPr="00FD34F2" w:rsidRDefault="00E731F2" w:rsidP="001D5707">
      <w:pPr>
        <w:pStyle w:val="Heading3"/>
        <w:spacing w:before="0"/>
        <w:rPr>
          <w:u w:val="single"/>
        </w:rPr>
      </w:pPr>
      <w:bookmarkStart w:id="28" w:name="_Toc219273884"/>
      <w:r w:rsidRPr="00FD34F2">
        <w:rPr>
          <w:u w:val="single"/>
        </w:rPr>
        <w:t>Non-pregnant and non-lactating adults</w:t>
      </w:r>
      <w:bookmarkEnd w:id="28"/>
    </w:p>
    <w:p w14:paraId="7C722779" w14:textId="30141596" w:rsidR="00597E88" w:rsidRPr="00ED740A" w:rsidRDefault="00597E88" w:rsidP="001D5707">
      <w:pPr>
        <w:rPr>
          <w:i/>
          <w:iCs/>
          <w:color w:val="000000"/>
        </w:rPr>
      </w:pPr>
      <w:r w:rsidRPr="00352BD2">
        <w:t>Preferred Treatment</w:t>
      </w:r>
    </w:p>
    <w:p w14:paraId="789E896A" w14:textId="300B3311" w:rsidR="00597E88" w:rsidRDefault="00597E88" w:rsidP="001D5707">
      <w:pPr>
        <w:spacing w:after="0"/>
        <w:ind w:left="720"/>
        <w:rPr>
          <w:rFonts w:eastAsia="Times New Roman" w:cstheme="minorHAnsi"/>
          <w:color w:val="333333"/>
          <w:szCs w:val="24"/>
          <w:lang w:val="en-US"/>
        </w:rPr>
      </w:pPr>
      <w:r w:rsidRPr="00557231">
        <w:rPr>
          <w:rFonts w:eastAsia="Times New Roman" w:cstheme="minorHAnsi"/>
          <w:b/>
          <w:bCs/>
          <w:color w:val="333333"/>
          <w:szCs w:val="24"/>
          <w:lang w:val="en-US"/>
        </w:rPr>
        <w:t>Doxycycline</w:t>
      </w:r>
      <w:r w:rsidRPr="00557231">
        <w:rPr>
          <w:rFonts w:eastAsia="Times New Roman" w:cstheme="minorHAnsi"/>
          <w:color w:val="333333"/>
          <w:szCs w:val="24"/>
          <w:lang w:val="en-US"/>
        </w:rPr>
        <w:t xml:space="preserve"> 100 mg PO BID for 7 days </w:t>
      </w:r>
      <w:r w:rsidRPr="00557231">
        <w:rPr>
          <w:rFonts w:eastAsia="Times New Roman" w:cstheme="minorHAnsi"/>
          <w:color w:val="333333"/>
          <w:szCs w:val="24"/>
          <w:lang w:val="en-US"/>
        </w:rPr>
        <w:br/>
        <w:t>or</w:t>
      </w:r>
    </w:p>
    <w:p w14:paraId="0318F0F2" w14:textId="0039AEC2" w:rsidR="00811754" w:rsidRDefault="00597E88" w:rsidP="001D5707">
      <w:pPr>
        <w:spacing w:after="0"/>
        <w:ind w:left="720"/>
        <w:rPr>
          <w:rFonts w:eastAsia="Times New Roman" w:cstheme="minorHAnsi"/>
          <w:color w:val="333333"/>
          <w:szCs w:val="24"/>
          <w:lang w:val="en-US"/>
        </w:rPr>
      </w:pPr>
      <w:r w:rsidRPr="00597E88">
        <w:rPr>
          <w:rFonts w:eastAsia="Times New Roman" w:cstheme="minorHAnsi"/>
          <w:b/>
          <w:bCs/>
          <w:color w:val="333333"/>
          <w:szCs w:val="24"/>
          <w:lang w:val="en-US"/>
        </w:rPr>
        <w:t>Azithromycin</w:t>
      </w:r>
      <w:r w:rsidRPr="00597E88">
        <w:rPr>
          <w:rFonts w:eastAsia="Times New Roman" w:cstheme="minorHAnsi"/>
          <w:color w:val="333333"/>
          <w:szCs w:val="24"/>
          <w:lang w:val="en-US"/>
        </w:rPr>
        <w:t xml:space="preserve"> 1 g PO in a single dose </w:t>
      </w:r>
    </w:p>
    <w:p w14:paraId="431EDD03" w14:textId="77777777" w:rsidR="00124342" w:rsidRPr="00124342" w:rsidRDefault="00124342" w:rsidP="001D5707">
      <w:pPr>
        <w:spacing w:after="0"/>
        <w:ind w:left="720"/>
        <w:rPr>
          <w:rFonts w:eastAsia="Times New Roman" w:cstheme="minorHAnsi"/>
          <w:color w:val="333333"/>
          <w:szCs w:val="24"/>
          <w:lang w:val="en-US"/>
        </w:rPr>
      </w:pPr>
    </w:p>
    <w:p w14:paraId="3832BEAD" w14:textId="2340AC26" w:rsidR="00352BD2" w:rsidRPr="00352BD2" w:rsidRDefault="00597E88" w:rsidP="001D5707">
      <w:r>
        <w:t>Alternative Treatment</w:t>
      </w:r>
    </w:p>
    <w:p w14:paraId="3A1EEE37" w14:textId="4FA5843A" w:rsidR="00597E88" w:rsidRDefault="00597E88" w:rsidP="001D5707">
      <w:pPr>
        <w:shd w:val="clear" w:color="auto" w:fill="FFFFFF"/>
        <w:ind w:firstLine="720"/>
        <w:rPr>
          <w:rFonts w:eastAsia="Times New Roman" w:cstheme="minorHAnsi"/>
          <w:b/>
          <w:bCs/>
          <w:color w:val="333333"/>
          <w:szCs w:val="24"/>
          <w:lang w:val="en-US"/>
        </w:rPr>
      </w:pPr>
      <w:r w:rsidRPr="00557231">
        <w:rPr>
          <w:rFonts w:eastAsia="Times New Roman" w:cstheme="minorHAnsi"/>
          <w:b/>
          <w:bCs/>
          <w:color w:val="333333"/>
          <w:szCs w:val="24"/>
          <w:lang w:val="en-US"/>
        </w:rPr>
        <w:t>Levofloxacin </w:t>
      </w:r>
      <w:r w:rsidRPr="00557231">
        <w:rPr>
          <w:rFonts w:eastAsia="Times New Roman" w:cstheme="minorHAnsi"/>
          <w:color w:val="333333"/>
          <w:szCs w:val="24"/>
          <w:lang w:val="en-US"/>
        </w:rPr>
        <w:t>500 mg PO once a day for 7 days </w:t>
      </w:r>
    </w:p>
    <w:p w14:paraId="1CD8745A" w14:textId="5D3A8E2A" w:rsidR="00E731F2" w:rsidRPr="00557231" w:rsidRDefault="00E731F2" w:rsidP="001D5707">
      <w:pPr>
        <w:shd w:val="clear" w:color="auto" w:fill="FFFFFF"/>
        <w:spacing w:after="173"/>
        <w:rPr>
          <w:rFonts w:eastAsia="Times New Roman" w:cstheme="minorHAnsi"/>
          <w:color w:val="333333"/>
          <w:szCs w:val="24"/>
          <w:lang w:val="en-US"/>
        </w:rPr>
      </w:pPr>
      <w:r w:rsidRPr="00557231">
        <w:rPr>
          <w:rFonts w:eastAsia="Times New Roman" w:cstheme="minorHAnsi"/>
          <w:b/>
          <w:bCs/>
          <w:color w:val="333333"/>
          <w:szCs w:val="24"/>
          <w:lang w:val="en-US"/>
        </w:rPr>
        <w:t>Note: </w:t>
      </w:r>
      <w:r w:rsidRPr="00557231">
        <w:rPr>
          <w:rFonts w:eastAsia="Times New Roman" w:cstheme="minorHAnsi"/>
          <w:color w:val="333333"/>
          <w:szCs w:val="24"/>
          <w:lang w:val="en-US"/>
        </w:rPr>
        <w:t>Azithromycin may be preferred when poor compliance is anticipated.</w:t>
      </w:r>
    </w:p>
    <w:p w14:paraId="6291689D" w14:textId="77777777" w:rsidR="00352BD2" w:rsidRDefault="00352BD2" w:rsidP="001D5707">
      <w:pPr>
        <w:shd w:val="clear" w:color="auto" w:fill="FFFFFF"/>
        <w:spacing w:after="0"/>
        <w:outlineLvl w:val="3"/>
        <w:rPr>
          <w:rFonts w:ascii="Lato" w:eastAsia="Times New Roman" w:hAnsi="Lato" w:cs="Times New Roman"/>
          <w:b/>
          <w:bCs/>
          <w:color w:val="333333"/>
          <w:szCs w:val="24"/>
          <w:lang w:val="en-US"/>
        </w:rPr>
      </w:pPr>
    </w:p>
    <w:p w14:paraId="36F4585E" w14:textId="568C61D1" w:rsidR="00E731F2" w:rsidRPr="00FD34F2" w:rsidRDefault="00E731F2" w:rsidP="001D5707">
      <w:pPr>
        <w:pStyle w:val="Heading3"/>
        <w:spacing w:before="0"/>
        <w:rPr>
          <w:u w:val="single"/>
        </w:rPr>
      </w:pPr>
      <w:bookmarkStart w:id="29" w:name="_Toc219273885"/>
      <w:r w:rsidRPr="00FD34F2">
        <w:rPr>
          <w:u w:val="single"/>
        </w:rPr>
        <w:t>Pregnant and lactating people</w:t>
      </w:r>
      <w:bookmarkEnd w:id="29"/>
    </w:p>
    <w:p w14:paraId="56EEE66A" w14:textId="6E41C557" w:rsidR="00E731F2" w:rsidRPr="00557231" w:rsidRDefault="00E731F2" w:rsidP="001D5707">
      <w:pPr>
        <w:numPr>
          <w:ilvl w:val="0"/>
          <w:numId w:val="12"/>
        </w:numPr>
        <w:shd w:val="clear" w:color="auto" w:fill="FFFFFF" w:themeFill="background1"/>
        <w:spacing w:after="100" w:afterAutospacing="1"/>
        <w:rPr>
          <w:rFonts w:eastAsia="Times New Roman" w:cstheme="minorHAnsi"/>
          <w:color w:val="333333"/>
          <w:szCs w:val="24"/>
          <w:lang w:val="en-US"/>
        </w:rPr>
      </w:pPr>
      <w:r w:rsidRPr="00557231">
        <w:rPr>
          <w:rFonts w:eastAsia="Times New Roman" w:cstheme="minorHAnsi"/>
          <w:b/>
          <w:bCs/>
          <w:color w:val="333333"/>
          <w:szCs w:val="24"/>
          <w:lang w:val="en-US"/>
        </w:rPr>
        <w:t>Azithromycin </w:t>
      </w:r>
      <w:r w:rsidRPr="00557231">
        <w:rPr>
          <w:rFonts w:eastAsia="Times New Roman" w:cstheme="minorHAnsi"/>
          <w:color w:val="333333"/>
          <w:szCs w:val="24"/>
          <w:lang w:val="en-US"/>
        </w:rPr>
        <w:t xml:space="preserve">1 g PO in a single dose </w:t>
      </w:r>
      <w:r w:rsidRPr="00557231">
        <w:rPr>
          <w:rFonts w:eastAsia="Times New Roman" w:cstheme="minorHAnsi"/>
          <w:color w:val="333333"/>
          <w:szCs w:val="24"/>
          <w:lang w:val="en-US"/>
        </w:rPr>
        <w:br/>
        <w:t>or</w:t>
      </w:r>
    </w:p>
    <w:p w14:paraId="260A494D" w14:textId="41053AED" w:rsidR="00E731F2" w:rsidRPr="00557231" w:rsidRDefault="00E731F2" w:rsidP="001D5707">
      <w:pPr>
        <w:numPr>
          <w:ilvl w:val="0"/>
          <w:numId w:val="12"/>
        </w:numPr>
        <w:shd w:val="clear" w:color="auto" w:fill="FFFFFF" w:themeFill="background1"/>
        <w:spacing w:after="100" w:afterAutospacing="1"/>
        <w:rPr>
          <w:rFonts w:eastAsia="Times New Roman" w:cstheme="minorHAnsi"/>
          <w:color w:val="333333"/>
          <w:szCs w:val="24"/>
          <w:lang w:val="en-US"/>
        </w:rPr>
      </w:pPr>
      <w:r w:rsidRPr="00557231">
        <w:rPr>
          <w:rFonts w:eastAsia="Times New Roman" w:cstheme="minorHAnsi"/>
          <w:b/>
          <w:bCs/>
          <w:color w:val="333333"/>
          <w:szCs w:val="24"/>
          <w:lang w:val="en-US"/>
        </w:rPr>
        <w:t>Amoxicillin</w:t>
      </w:r>
      <w:r w:rsidRPr="00557231">
        <w:rPr>
          <w:rFonts w:eastAsia="Times New Roman" w:cstheme="minorHAnsi"/>
          <w:color w:val="333333"/>
          <w:szCs w:val="24"/>
          <w:lang w:val="en-US"/>
        </w:rPr>
        <w:t xml:space="preserve"> 500 mg PO TID for 7 days </w:t>
      </w:r>
      <w:r w:rsidRPr="00557231">
        <w:rPr>
          <w:rFonts w:eastAsia="Times New Roman" w:cstheme="minorHAnsi"/>
          <w:color w:val="333333"/>
          <w:szCs w:val="24"/>
          <w:lang w:val="en-US"/>
        </w:rPr>
        <w:br/>
        <w:t>or</w:t>
      </w:r>
    </w:p>
    <w:p w14:paraId="73AACBD0" w14:textId="312841F4" w:rsidR="00E731F2" w:rsidRPr="00557231" w:rsidRDefault="00E731F2" w:rsidP="001D5707">
      <w:pPr>
        <w:numPr>
          <w:ilvl w:val="0"/>
          <w:numId w:val="12"/>
        </w:numPr>
        <w:shd w:val="clear" w:color="auto" w:fill="FFFFFF" w:themeFill="background1"/>
        <w:spacing w:after="100" w:afterAutospacing="1"/>
        <w:rPr>
          <w:rFonts w:eastAsia="Times New Roman" w:cstheme="minorHAnsi"/>
          <w:color w:val="333333"/>
          <w:szCs w:val="24"/>
          <w:lang w:val="en-US"/>
        </w:rPr>
      </w:pPr>
      <w:r w:rsidRPr="00557231">
        <w:rPr>
          <w:rFonts w:eastAsia="Times New Roman" w:cstheme="minorHAnsi"/>
          <w:b/>
          <w:bCs/>
          <w:color w:val="333333"/>
          <w:szCs w:val="24"/>
          <w:lang w:val="en-US"/>
        </w:rPr>
        <w:t>Erythromycin</w:t>
      </w:r>
      <w:r w:rsidRPr="00557231">
        <w:rPr>
          <w:rFonts w:eastAsia="Times New Roman" w:cstheme="minorHAnsi"/>
          <w:color w:val="333333"/>
          <w:szCs w:val="24"/>
          <w:lang w:val="en-US"/>
        </w:rPr>
        <w:t> 2 g/day PO in divided doses for 7 days </w:t>
      </w:r>
      <w:r w:rsidRPr="00557231">
        <w:rPr>
          <w:rFonts w:eastAsia="Times New Roman" w:cstheme="minorHAnsi"/>
          <w:color w:val="333333"/>
          <w:szCs w:val="24"/>
          <w:lang w:val="en-US"/>
        </w:rPr>
        <w:br/>
        <w:t>or</w:t>
      </w:r>
    </w:p>
    <w:p w14:paraId="7A59D748" w14:textId="50FE30CD" w:rsidR="00E731F2" w:rsidRPr="00557231" w:rsidRDefault="00E731F2" w:rsidP="001D5707">
      <w:pPr>
        <w:numPr>
          <w:ilvl w:val="0"/>
          <w:numId w:val="12"/>
        </w:numPr>
        <w:shd w:val="clear" w:color="auto" w:fill="FFFFFF" w:themeFill="background1"/>
        <w:spacing w:after="100" w:afterAutospacing="1"/>
        <w:rPr>
          <w:rFonts w:eastAsia="Times New Roman" w:cstheme="minorHAnsi"/>
          <w:color w:val="333333"/>
          <w:szCs w:val="24"/>
          <w:lang w:val="en-US"/>
        </w:rPr>
      </w:pPr>
      <w:r w:rsidRPr="00557231">
        <w:rPr>
          <w:rFonts w:eastAsia="Times New Roman" w:cstheme="minorHAnsi"/>
          <w:b/>
          <w:bCs/>
          <w:color w:val="333333"/>
          <w:szCs w:val="24"/>
          <w:lang w:val="en-US"/>
        </w:rPr>
        <w:t>Erythromycin</w:t>
      </w:r>
      <w:r w:rsidRPr="00557231">
        <w:rPr>
          <w:rFonts w:eastAsia="Times New Roman" w:cstheme="minorHAnsi"/>
          <w:color w:val="333333"/>
          <w:szCs w:val="24"/>
          <w:lang w:val="en-US"/>
        </w:rPr>
        <w:t> 1g/day PO in divided doses for 14 days </w:t>
      </w:r>
    </w:p>
    <w:p w14:paraId="270F82B6" w14:textId="77777777" w:rsidR="00E731F2" w:rsidRPr="00557231" w:rsidRDefault="00E731F2" w:rsidP="00811754">
      <w:pPr>
        <w:shd w:val="clear" w:color="auto" w:fill="FFFFFF"/>
        <w:spacing w:after="0" w:line="240" w:lineRule="auto"/>
        <w:rPr>
          <w:rFonts w:eastAsia="Times New Roman" w:cstheme="minorHAnsi"/>
          <w:color w:val="333333"/>
          <w:szCs w:val="24"/>
          <w:lang w:val="en-US"/>
        </w:rPr>
      </w:pPr>
      <w:r w:rsidRPr="00557231">
        <w:rPr>
          <w:rFonts w:eastAsia="Times New Roman" w:cstheme="minorHAnsi"/>
          <w:b/>
          <w:bCs/>
          <w:color w:val="333333"/>
          <w:szCs w:val="24"/>
          <w:lang w:val="en-US"/>
        </w:rPr>
        <w:t>Notes:</w:t>
      </w:r>
    </w:p>
    <w:p w14:paraId="191634F2" w14:textId="17E34BB3" w:rsidR="00E731F2" w:rsidRPr="00557231" w:rsidRDefault="00E731F2" w:rsidP="001D5707">
      <w:pPr>
        <w:numPr>
          <w:ilvl w:val="0"/>
          <w:numId w:val="13"/>
        </w:numPr>
        <w:shd w:val="clear" w:color="auto" w:fill="FFFFFF"/>
        <w:spacing w:beforeAutospacing="1" w:after="0" w:afterAutospacing="1"/>
        <w:rPr>
          <w:rFonts w:eastAsia="Times New Roman" w:cstheme="minorHAnsi"/>
          <w:color w:val="333333"/>
          <w:szCs w:val="24"/>
          <w:lang w:val="en-US"/>
        </w:rPr>
      </w:pPr>
      <w:r w:rsidRPr="00557231">
        <w:rPr>
          <w:rFonts w:eastAsia="Times New Roman" w:cstheme="minorHAnsi"/>
          <w:color w:val="333333"/>
          <w:szCs w:val="24"/>
          <w:lang w:val="en-US"/>
        </w:rPr>
        <w:t xml:space="preserve">Data are limited regarding the use of azithromycin in </w:t>
      </w:r>
      <w:r w:rsidR="00D11E5B" w:rsidRPr="00557231">
        <w:rPr>
          <w:rFonts w:eastAsia="Times New Roman" w:cstheme="minorHAnsi"/>
          <w:color w:val="333333"/>
          <w:szCs w:val="24"/>
          <w:lang w:val="en-US"/>
        </w:rPr>
        <w:t>pregnancy;</w:t>
      </w:r>
      <w:r w:rsidRPr="00557231">
        <w:rPr>
          <w:rFonts w:eastAsia="Times New Roman" w:cstheme="minorHAnsi"/>
          <w:color w:val="333333"/>
          <w:szCs w:val="24"/>
          <w:lang w:val="en-US"/>
        </w:rPr>
        <w:t xml:space="preserve"> </w:t>
      </w:r>
      <w:r w:rsidR="00811754" w:rsidRPr="00557231">
        <w:rPr>
          <w:rFonts w:eastAsia="Times New Roman" w:cstheme="minorHAnsi"/>
          <w:color w:val="333333"/>
          <w:szCs w:val="24"/>
          <w:lang w:val="en-US"/>
        </w:rPr>
        <w:t>however,</w:t>
      </w:r>
      <w:r w:rsidRPr="00557231">
        <w:rPr>
          <w:rFonts w:eastAsia="Times New Roman" w:cstheme="minorHAnsi"/>
          <w:color w:val="333333"/>
          <w:szCs w:val="24"/>
          <w:lang w:val="en-US"/>
        </w:rPr>
        <w:t xml:space="preserve"> many experts believe it has an acceptable risk-benefit profile.</w:t>
      </w:r>
      <w:r w:rsidR="00557231" w:rsidRPr="00557231">
        <w:rPr>
          <w:rFonts w:eastAsia="Times New Roman" w:cstheme="minorHAnsi"/>
          <w:color w:val="333333"/>
          <w:szCs w:val="24"/>
          <w:lang w:val="en-US"/>
        </w:rPr>
        <w:t xml:space="preserve"> </w:t>
      </w:r>
    </w:p>
    <w:p w14:paraId="03F9DD91" w14:textId="77777777" w:rsidR="00E731F2" w:rsidRPr="00557231" w:rsidRDefault="00E731F2" w:rsidP="001D5707">
      <w:pPr>
        <w:numPr>
          <w:ilvl w:val="0"/>
          <w:numId w:val="13"/>
        </w:numPr>
        <w:shd w:val="clear" w:color="auto" w:fill="FFFFFF"/>
        <w:spacing w:before="100" w:beforeAutospacing="1" w:after="100" w:afterAutospacing="1"/>
        <w:rPr>
          <w:rFonts w:eastAsia="Times New Roman" w:cstheme="minorHAnsi"/>
          <w:color w:val="333333"/>
          <w:szCs w:val="24"/>
          <w:lang w:val="en-US"/>
        </w:rPr>
      </w:pPr>
      <w:r w:rsidRPr="00557231">
        <w:rPr>
          <w:rFonts w:eastAsia="Times New Roman" w:cstheme="minorHAnsi"/>
          <w:color w:val="333333"/>
          <w:szCs w:val="24"/>
          <w:lang w:val="en-US"/>
        </w:rPr>
        <w:lastRenderedPageBreak/>
        <w:t>Data on neonatal outcomes are limited.</w:t>
      </w:r>
    </w:p>
    <w:p w14:paraId="23B5B940" w14:textId="77777777" w:rsidR="00E731F2" w:rsidRPr="00557231" w:rsidRDefault="00E731F2" w:rsidP="001D5707">
      <w:pPr>
        <w:numPr>
          <w:ilvl w:val="0"/>
          <w:numId w:val="13"/>
        </w:numPr>
        <w:shd w:val="clear" w:color="auto" w:fill="FFFFFF"/>
        <w:spacing w:before="100" w:beforeAutospacing="1" w:after="100" w:afterAutospacing="1"/>
        <w:rPr>
          <w:rFonts w:eastAsia="Times New Roman" w:cstheme="minorHAnsi"/>
          <w:color w:val="333333"/>
          <w:szCs w:val="24"/>
          <w:lang w:val="en-US"/>
        </w:rPr>
      </w:pPr>
      <w:r w:rsidRPr="00557231">
        <w:rPr>
          <w:rFonts w:eastAsia="Times New Roman" w:cstheme="minorHAnsi"/>
          <w:color w:val="333333"/>
          <w:szCs w:val="24"/>
          <w:lang w:val="en-US"/>
        </w:rPr>
        <w:t>Erythromycin dosage refers to the use of erythromycin base. Equivalent dosages of other formulations may be substituted.</w:t>
      </w:r>
    </w:p>
    <w:p w14:paraId="0D90A139" w14:textId="77777777" w:rsidR="00E731F2" w:rsidRPr="00557231" w:rsidRDefault="00E731F2" w:rsidP="001D5707">
      <w:pPr>
        <w:numPr>
          <w:ilvl w:val="0"/>
          <w:numId w:val="13"/>
        </w:numPr>
        <w:shd w:val="clear" w:color="auto" w:fill="FFFFFF"/>
        <w:spacing w:before="100" w:beforeAutospacing="1" w:after="100" w:afterAutospacing="1"/>
        <w:rPr>
          <w:rFonts w:eastAsia="Times New Roman" w:cstheme="minorHAnsi"/>
          <w:color w:val="333333"/>
          <w:szCs w:val="24"/>
          <w:lang w:val="en-US"/>
        </w:rPr>
      </w:pPr>
      <w:r w:rsidRPr="00557231">
        <w:rPr>
          <w:rFonts w:eastAsia="Times New Roman" w:cstheme="minorHAnsi"/>
          <w:color w:val="333333"/>
          <w:szCs w:val="24"/>
          <w:lang w:val="en-US"/>
        </w:rPr>
        <w:t>Estolate formulation is contraindicated in pregnancy.</w:t>
      </w:r>
    </w:p>
    <w:p w14:paraId="48AB23E0" w14:textId="610D01F3" w:rsidR="00557231" w:rsidRPr="00D11E5B" w:rsidRDefault="00E731F2" w:rsidP="001D5707">
      <w:pPr>
        <w:numPr>
          <w:ilvl w:val="0"/>
          <w:numId w:val="13"/>
        </w:numPr>
        <w:shd w:val="clear" w:color="auto" w:fill="FFFFFF"/>
        <w:spacing w:before="100" w:beforeAutospacing="1" w:after="100" w:afterAutospacing="1"/>
        <w:rPr>
          <w:rFonts w:eastAsia="Times New Roman" w:cstheme="minorHAnsi"/>
          <w:color w:val="333333"/>
          <w:szCs w:val="24"/>
          <w:lang w:val="en-US"/>
        </w:rPr>
      </w:pPr>
      <w:r w:rsidRPr="00557231">
        <w:rPr>
          <w:rFonts w:eastAsia="Times New Roman" w:cstheme="minorHAnsi"/>
          <w:color w:val="333333"/>
          <w:szCs w:val="24"/>
          <w:lang w:val="en-US"/>
        </w:rPr>
        <w:t>Doxycycline and quinolones are contraindicated in pregnancy and in lactating people.</w:t>
      </w:r>
    </w:p>
    <w:p w14:paraId="254E0D0B" w14:textId="77777777" w:rsidR="00E731F2" w:rsidRPr="00124342" w:rsidRDefault="00E731F2" w:rsidP="001D5707">
      <w:pPr>
        <w:pStyle w:val="Heading3"/>
        <w:rPr>
          <w:u w:val="single"/>
        </w:rPr>
      </w:pPr>
      <w:bookmarkStart w:id="30" w:name="_Toc219273886"/>
      <w:r w:rsidRPr="00124342">
        <w:rPr>
          <w:u w:val="single"/>
        </w:rPr>
        <w:t>Nine (9) to 18 years of age</w:t>
      </w:r>
      <w:bookmarkEnd w:id="30"/>
    </w:p>
    <w:p w14:paraId="55132854" w14:textId="6497B14B" w:rsidR="00D11E5B" w:rsidRDefault="00D11E5B" w:rsidP="001D5707">
      <w:pPr>
        <w:spacing w:before="100" w:beforeAutospacing="1" w:after="100" w:afterAutospacing="1"/>
        <w:rPr>
          <w:rFonts w:eastAsia="Times New Roman" w:cstheme="minorHAnsi"/>
          <w:b/>
          <w:bCs/>
          <w:color w:val="333333"/>
          <w:szCs w:val="24"/>
          <w:lang w:val="en-US"/>
        </w:rPr>
      </w:pPr>
      <w:r>
        <w:rPr>
          <w:rFonts w:eastAsia="Times New Roman" w:cstheme="minorHAnsi"/>
          <w:b/>
          <w:bCs/>
          <w:color w:val="333333"/>
          <w:szCs w:val="24"/>
          <w:lang w:val="en-US"/>
        </w:rPr>
        <w:t>Preferred Treatment</w:t>
      </w:r>
    </w:p>
    <w:p w14:paraId="6C01EE0F" w14:textId="4AA76D89" w:rsidR="00D11E5B" w:rsidRDefault="00D11E5B" w:rsidP="001D5707">
      <w:pPr>
        <w:spacing w:after="0"/>
        <w:ind w:left="720"/>
        <w:rPr>
          <w:rFonts w:eastAsia="Times New Roman" w:cstheme="minorHAnsi"/>
          <w:color w:val="333333"/>
          <w:szCs w:val="24"/>
          <w:lang w:val="en-US"/>
        </w:rPr>
      </w:pPr>
      <w:r w:rsidRPr="00557231">
        <w:rPr>
          <w:rFonts w:eastAsia="Times New Roman" w:cstheme="minorHAnsi"/>
          <w:b/>
          <w:bCs/>
          <w:color w:val="333333"/>
          <w:szCs w:val="24"/>
          <w:lang w:val="en-US"/>
        </w:rPr>
        <w:t>Doxycycline</w:t>
      </w:r>
      <w:r w:rsidRPr="00557231">
        <w:rPr>
          <w:rFonts w:eastAsia="Times New Roman" w:cstheme="minorHAnsi"/>
          <w:color w:val="333333"/>
          <w:szCs w:val="24"/>
          <w:lang w:val="en-US"/>
        </w:rPr>
        <w:t xml:space="preserve"> 5 mg/kg/day PO in divided doses (max. 100 mg BID) for 7 days </w:t>
      </w:r>
    </w:p>
    <w:p w14:paraId="5CAE8C04" w14:textId="1046178B" w:rsidR="00D11E5B" w:rsidRPr="00557231" w:rsidRDefault="00D11E5B" w:rsidP="001D5707">
      <w:pPr>
        <w:spacing w:after="0"/>
        <w:ind w:left="720"/>
        <w:rPr>
          <w:rFonts w:eastAsia="Times New Roman" w:cstheme="minorHAnsi"/>
          <w:color w:val="333333"/>
          <w:szCs w:val="24"/>
          <w:lang w:val="en-US"/>
        </w:rPr>
      </w:pPr>
      <w:r w:rsidRPr="00557231">
        <w:rPr>
          <w:rFonts w:eastAsia="Times New Roman" w:cstheme="minorHAnsi"/>
          <w:color w:val="333333"/>
          <w:szCs w:val="24"/>
          <w:lang w:val="en-US"/>
        </w:rPr>
        <w:t>or</w:t>
      </w:r>
    </w:p>
    <w:p w14:paraId="032279FD" w14:textId="1B590809" w:rsidR="00D11E5B" w:rsidRDefault="00D11E5B" w:rsidP="001D5707">
      <w:pPr>
        <w:shd w:val="clear" w:color="auto" w:fill="FFFFFF"/>
        <w:spacing w:after="0"/>
        <w:ind w:firstLine="720"/>
        <w:rPr>
          <w:rFonts w:eastAsia="Times New Roman" w:cstheme="minorHAnsi"/>
          <w:color w:val="333333"/>
          <w:szCs w:val="24"/>
          <w:lang w:val="en-US"/>
        </w:rPr>
      </w:pPr>
      <w:r w:rsidRPr="00557231">
        <w:rPr>
          <w:rFonts w:eastAsia="Times New Roman" w:cstheme="minorHAnsi"/>
          <w:b/>
          <w:bCs/>
          <w:color w:val="333333"/>
          <w:szCs w:val="24"/>
          <w:lang w:val="en-US"/>
        </w:rPr>
        <w:t>Azithromycin</w:t>
      </w:r>
      <w:r w:rsidRPr="00557231">
        <w:rPr>
          <w:rFonts w:eastAsia="Times New Roman" w:cstheme="minorHAnsi"/>
          <w:color w:val="333333"/>
          <w:szCs w:val="24"/>
          <w:lang w:val="en-US"/>
        </w:rPr>
        <w:t> 12–15 mg/kg (max. 1 g) PO in a single dose</w:t>
      </w:r>
      <w:r>
        <w:rPr>
          <w:rFonts w:eastAsia="Times New Roman" w:cstheme="minorHAnsi"/>
          <w:color w:val="333333"/>
          <w:szCs w:val="24"/>
          <w:lang w:val="en-US"/>
        </w:rPr>
        <w:t xml:space="preserve">, </w:t>
      </w:r>
      <w:r w:rsidRPr="00557231">
        <w:rPr>
          <w:rFonts w:eastAsia="Times New Roman" w:cstheme="minorHAnsi"/>
          <w:color w:val="333333"/>
          <w:szCs w:val="24"/>
          <w:lang w:val="en-US"/>
        </w:rPr>
        <w:t xml:space="preserve"> if poor compliance is expected</w:t>
      </w:r>
    </w:p>
    <w:p w14:paraId="1EC9D182" w14:textId="77777777" w:rsidR="00D11E5B" w:rsidRDefault="00D11E5B" w:rsidP="001D5707">
      <w:pPr>
        <w:shd w:val="clear" w:color="auto" w:fill="FFFFFF"/>
        <w:spacing w:after="0"/>
        <w:ind w:firstLine="720"/>
        <w:rPr>
          <w:rFonts w:eastAsia="Times New Roman" w:cstheme="minorHAnsi"/>
          <w:color w:val="333333"/>
          <w:szCs w:val="24"/>
          <w:lang w:val="en-US"/>
        </w:rPr>
      </w:pPr>
    </w:p>
    <w:p w14:paraId="7BA0A50E" w14:textId="642E554C" w:rsidR="00D11E5B" w:rsidRPr="00D11E5B" w:rsidRDefault="00D11E5B" w:rsidP="001D5707">
      <w:pPr>
        <w:shd w:val="clear" w:color="auto" w:fill="FFFFFF"/>
        <w:spacing w:after="173"/>
        <w:rPr>
          <w:rFonts w:eastAsia="Times New Roman" w:cstheme="minorHAnsi"/>
          <w:b/>
          <w:bCs/>
          <w:color w:val="333333"/>
          <w:szCs w:val="24"/>
          <w:lang w:val="en-US"/>
        </w:rPr>
      </w:pPr>
      <w:r w:rsidRPr="00D11E5B">
        <w:rPr>
          <w:rFonts w:eastAsia="Times New Roman" w:cstheme="minorHAnsi"/>
          <w:b/>
          <w:bCs/>
          <w:color w:val="333333"/>
          <w:szCs w:val="24"/>
          <w:lang w:val="en-US"/>
        </w:rPr>
        <w:t>Alternative treatment</w:t>
      </w:r>
    </w:p>
    <w:p w14:paraId="465C8E6A" w14:textId="00199EF0" w:rsidR="00D11E5B" w:rsidRPr="00557231" w:rsidRDefault="00D11E5B" w:rsidP="001D5707">
      <w:pPr>
        <w:spacing w:after="0"/>
        <w:ind w:left="720" w:right="4623"/>
        <w:rPr>
          <w:rFonts w:eastAsia="Times New Roman" w:cstheme="minorHAnsi"/>
          <w:color w:val="333333"/>
          <w:szCs w:val="24"/>
          <w:lang w:val="en-US"/>
        </w:rPr>
      </w:pPr>
      <w:r w:rsidRPr="00557231">
        <w:rPr>
          <w:rFonts w:eastAsia="Times New Roman" w:cstheme="minorHAnsi"/>
          <w:b/>
          <w:bCs/>
          <w:color w:val="333333"/>
          <w:szCs w:val="24"/>
          <w:lang w:val="en-US"/>
        </w:rPr>
        <w:t>Erythromycin base</w:t>
      </w:r>
      <w:r w:rsidRPr="00557231">
        <w:rPr>
          <w:rFonts w:eastAsia="Times New Roman" w:cstheme="minorHAnsi"/>
          <w:color w:val="333333"/>
          <w:szCs w:val="24"/>
          <w:lang w:val="en-US"/>
        </w:rPr>
        <w:t xml:space="preserve"> 40 mg/kg/day PO in divided doses (max. 500 mg QID for 7 days or 250 mg QID for 14 days) </w:t>
      </w:r>
      <w:r w:rsidRPr="00557231">
        <w:rPr>
          <w:rFonts w:eastAsia="Times New Roman" w:cstheme="minorHAnsi"/>
          <w:color w:val="333333"/>
          <w:szCs w:val="24"/>
          <w:lang w:val="en-US"/>
        </w:rPr>
        <w:br/>
        <w:t>or</w:t>
      </w:r>
    </w:p>
    <w:p w14:paraId="163D3D12" w14:textId="316DB615" w:rsidR="00D11E5B" w:rsidRDefault="00D11E5B" w:rsidP="001D5707">
      <w:pPr>
        <w:shd w:val="clear" w:color="auto" w:fill="FFFFFF"/>
        <w:spacing w:after="0"/>
        <w:ind w:firstLine="720"/>
        <w:rPr>
          <w:rFonts w:ascii="Noto Sans" w:eastAsia="Times New Roman" w:hAnsi="Noto Sans" w:cs="Noto Sans"/>
          <w:b/>
          <w:bCs/>
          <w:color w:val="333333"/>
          <w:sz w:val="30"/>
          <w:szCs w:val="30"/>
          <w:lang w:val="en-US"/>
        </w:rPr>
      </w:pPr>
      <w:r w:rsidRPr="00557231">
        <w:rPr>
          <w:rFonts w:eastAsia="Times New Roman" w:cstheme="minorHAnsi"/>
          <w:b/>
          <w:bCs/>
          <w:color w:val="333333"/>
          <w:szCs w:val="24"/>
          <w:lang w:val="en-US"/>
        </w:rPr>
        <w:t>Sulfamethoxazole</w:t>
      </w:r>
      <w:r w:rsidRPr="00557231">
        <w:rPr>
          <w:rFonts w:eastAsia="Times New Roman" w:cstheme="minorHAnsi"/>
          <w:color w:val="333333"/>
          <w:szCs w:val="24"/>
          <w:lang w:val="en-US"/>
        </w:rPr>
        <w:t xml:space="preserve"> 75 mg/kg/day PO in divided doses (max. 1 g BID) for 10 days </w:t>
      </w:r>
    </w:p>
    <w:p w14:paraId="7061534E" w14:textId="5365CAD0" w:rsidR="00E731F2" w:rsidRPr="00A024DA" w:rsidRDefault="00E731F2" w:rsidP="001D5707">
      <w:pPr>
        <w:shd w:val="clear" w:color="auto" w:fill="FFFFFF"/>
        <w:spacing w:after="0"/>
        <w:rPr>
          <w:rFonts w:eastAsia="Times New Roman" w:cstheme="minorHAnsi"/>
          <w:color w:val="333333"/>
          <w:szCs w:val="24"/>
          <w:lang w:val="en-US"/>
        </w:rPr>
      </w:pPr>
      <w:r w:rsidRPr="00A024DA">
        <w:rPr>
          <w:rFonts w:eastAsia="Times New Roman" w:cstheme="minorHAnsi"/>
          <w:b/>
          <w:bCs/>
          <w:color w:val="333333"/>
          <w:szCs w:val="24"/>
          <w:lang w:val="en-US"/>
        </w:rPr>
        <w:t>Notes:</w:t>
      </w:r>
    </w:p>
    <w:p w14:paraId="60C5D178" w14:textId="77EB6D43" w:rsidR="00E731F2" w:rsidRPr="00557231" w:rsidRDefault="00E731F2" w:rsidP="001D5707">
      <w:pPr>
        <w:numPr>
          <w:ilvl w:val="0"/>
          <w:numId w:val="16"/>
        </w:numPr>
        <w:shd w:val="clear" w:color="auto" w:fill="FFFFFF"/>
        <w:spacing w:after="0"/>
        <w:rPr>
          <w:rFonts w:eastAsia="Times New Roman" w:cstheme="minorHAnsi"/>
          <w:color w:val="333333"/>
          <w:szCs w:val="24"/>
          <w:lang w:val="en-US"/>
        </w:rPr>
      </w:pPr>
      <w:r w:rsidRPr="00557231">
        <w:rPr>
          <w:rFonts w:eastAsia="Times New Roman" w:cstheme="minorHAnsi"/>
          <w:color w:val="333333"/>
          <w:szCs w:val="24"/>
          <w:lang w:val="en-US"/>
        </w:rPr>
        <w:t>Erythromycin is associated with significantly higher gastrointestinal side effects than other treatment regimens.</w:t>
      </w:r>
      <w:r w:rsidR="00557231" w:rsidRPr="00557231">
        <w:rPr>
          <w:rFonts w:eastAsia="Times New Roman" w:cstheme="minorHAnsi"/>
          <w:color w:val="333333"/>
          <w:szCs w:val="24"/>
          <w:lang w:val="en-US"/>
        </w:rPr>
        <w:t xml:space="preserve"> </w:t>
      </w:r>
    </w:p>
    <w:p w14:paraId="2001C56F" w14:textId="77777777" w:rsidR="00E731F2" w:rsidRPr="00557231" w:rsidRDefault="00E731F2" w:rsidP="001D5707">
      <w:pPr>
        <w:numPr>
          <w:ilvl w:val="0"/>
          <w:numId w:val="16"/>
        </w:numPr>
        <w:shd w:val="clear" w:color="auto" w:fill="FFFFFF"/>
        <w:spacing w:after="0"/>
        <w:rPr>
          <w:rFonts w:eastAsia="Times New Roman" w:cstheme="minorHAnsi"/>
          <w:color w:val="333333"/>
          <w:szCs w:val="24"/>
          <w:lang w:val="en-US"/>
        </w:rPr>
      </w:pPr>
      <w:r w:rsidRPr="00557231">
        <w:rPr>
          <w:rFonts w:eastAsia="Times New Roman" w:cstheme="minorHAnsi"/>
          <w:color w:val="333333"/>
          <w:szCs w:val="24"/>
          <w:lang w:val="en-US"/>
        </w:rPr>
        <w:t>Equivalent dosages of other formulations may be substituted for erythromycin base.</w:t>
      </w:r>
    </w:p>
    <w:p w14:paraId="7EFFE8D2" w14:textId="24402C02" w:rsidR="00E731F2" w:rsidRDefault="00E731F2" w:rsidP="001D5707">
      <w:pPr>
        <w:numPr>
          <w:ilvl w:val="0"/>
          <w:numId w:val="16"/>
        </w:numPr>
        <w:shd w:val="clear" w:color="auto" w:fill="FFFFFF"/>
        <w:spacing w:after="0"/>
        <w:rPr>
          <w:rFonts w:eastAsia="Times New Roman" w:cstheme="minorHAnsi"/>
          <w:color w:val="333333"/>
          <w:szCs w:val="24"/>
          <w:lang w:val="en-US"/>
        </w:rPr>
      </w:pPr>
      <w:r w:rsidRPr="00557231">
        <w:rPr>
          <w:rFonts w:eastAsia="Times New Roman" w:cstheme="minorHAnsi"/>
          <w:color w:val="333333"/>
          <w:szCs w:val="24"/>
          <w:lang w:val="en-US"/>
        </w:rPr>
        <w:t>Topical therapy for conjunctivitis is inadequate, systemic treatment is sufficient.</w:t>
      </w:r>
      <w:r w:rsidR="00557231" w:rsidRPr="00557231">
        <w:rPr>
          <w:rFonts w:eastAsia="Times New Roman" w:cstheme="minorHAnsi"/>
          <w:color w:val="333333"/>
          <w:szCs w:val="24"/>
          <w:lang w:val="en-US"/>
        </w:rPr>
        <w:t xml:space="preserve"> </w:t>
      </w:r>
    </w:p>
    <w:p w14:paraId="732857BD" w14:textId="77777777" w:rsidR="00D11E5B" w:rsidRPr="00557231" w:rsidRDefault="00D11E5B" w:rsidP="001D5707">
      <w:pPr>
        <w:shd w:val="clear" w:color="auto" w:fill="FFFFFF"/>
        <w:spacing w:after="0"/>
        <w:ind w:left="720"/>
        <w:rPr>
          <w:rFonts w:eastAsia="Times New Roman" w:cstheme="minorHAnsi"/>
          <w:color w:val="333333"/>
          <w:szCs w:val="24"/>
          <w:lang w:val="en-US"/>
        </w:rPr>
      </w:pPr>
    </w:p>
    <w:p w14:paraId="3A93B4A7" w14:textId="086CBFE7" w:rsidR="00E731F2" w:rsidRPr="00557231" w:rsidRDefault="00E731F2" w:rsidP="001D5707">
      <w:pPr>
        <w:shd w:val="clear" w:color="auto" w:fill="FFFFFF"/>
        <w:spacing w:after="0"/>
        <w:rPr>
          <w:rFonts w:eastAsia="Times New Roman" w:cstheme="minorHAnsi"/>
          <w:color w:val="333333"/>
          <w:szCs w:val="24"/>
          <w:lang w:val="en-US"/>
        </w:rPr>
      </w:pPr>
      <w:r w:rsidRPr="00557231">
        <w:rPr>
          <w:rFonts w:eastAsia="Times New Roman" w:cstheme="minorHAnsi"/>
          <w:color w:val="333333"/>
          <w:szCs w:val="24"/>
          <w:lang w:val="en-US"/>
        </w:rPr>
        <w:t>Consult with a pediatric specialist or an experienced colleague and relevant clinical guidelines when chlamydia is diagnosed in a child. Perinatally acquired </w:t>
      </w:r>
      <w:r w:rsidRPr="00557231">
        <w:rPr>
          <w:rFonts w:eastAsia="Times New Roman" w:cstheme="minorHAnsi"/>
          <w:i/>
          <w:iCs/>
          <w:color w:val="333333"/>
          <w:szCs w:val="24"/>
          <w:lang w:val="en-US"/>
        </w:rPr>
        <w:t>C. trachomatis</w:t>
      </w:r>
      <w:r w:rsidRPr="00557231">
        <w:rPr>
          <w:rFonts w:eastAsia="Times New Roman" w:cstheme="minorHAnsi"/>
          <w:color w:val="333333"/>
          <w:szCs w:val="24"/>
          <w:lang w:val="en-US"/>
        </w:rPr>
        <w:t> can persist for up to three years. Consider sexual abuse when a chlamydial infection is diagnosed in any prepubertal child.</w:t>
      </w:r>
      <w:r w:rsidR="00557231" w:rsidRPr="00557231">
        <w:rPr>
          <w:rFonts w:eastAsia="Times New Roman" w:cstheme="minorHAnsi"/>
          <w:color w:val="333333"/>
          <w:szCs w:val="24"/>
          <w:lang w:val="en-US"/>
        </w:rPr>
        <w:t xml:space="preserve"> </w:t>
      </w:r>
    </w:p>
    <w:p w14:paraId="6EB09E06" w14:textId="67BD04B3" w:rsidR="00C818DB" w:rsidRDefault="00E731F2" w:rsidP="001D5707">
      <w:pPr>
        <w:shd w:val="clear" w:color="auto" w:fill="FFFFFF"/>
        <w:spacing w:after="173"/>
        <w:rPr>
          <w:rFonts w:eastAsia="Times New Roman" w:cstheme="minorHAnsi"/>
          <w:color w:val="333333"/>
          <w:szCs w:val="24"/>
          <w:lang w:val="en-US"/>
        </w:rPr>
      </w:pPr>
      <w:r w:rsidRPr="00557231">
        <w:rPr>
          <w:rFonts w:eastAsia="Times New Roman" w:cstheme="minorHAnsi"/>
          <w:b/>
          <w:bCs/>
          <w:color w:val="333333"/>
          <w:szCs w:val="24"/>
          <w:lang w:val="en-US"/>
        </w:rPr>
        <w:t>Note</w:t>
      </w:r>
      <w:r w:rsidRPr="00557231">
        <w:rPr>
          <w:rFonts w:eastAsia="Times New Roman" w:cstheme="minorHAnsi"/>
          <w:color w:val="333333"/>
          <w:szCs w:val="24"/>
          <w:lang w:val="en-US"/>
        </w:rPr>
        <w:t>: Suspected sexual abuse of children must be reported to child protection</w:t>
      </w:r>
      <w:r w:rsidR="00A024DA">
        <w:rPr>
          <w:rFonts w:eastAsia="Times New Roman" w:cstheme="minorHAnsi"/>
          <w:color w:val="333333"/>
          <w:szCs w:val="24"/>
          <w:lang w:val="en-US"/>
        </w:rPr>
        <w:t xml:space="preserve"> services</w:t>
      </w:r>
      <w:r w:rsidRPr="00557231">
        <w:rPr>
          <w:rFonts w:eastAsia="Times New Roman" w:cstheme="minorHAnsi"/>
          <w:color w:val="333333"/>
          <w:szCs w:val="24"/>
          <w:lang w:val="en-US"/>
        </w:rPr>
        <w:t>.</w:t>
      </w:r>
    </w:p>
    <w:p w14:paraId="3C6EDBAE" w14:textId="77777777" w:rsidR="00C818DB" w:rsidRPr="00ED740A" w:rsidRDefault="00C818DB" w:rsidP="001D5707">
      <w:pPr>
        <w:pStyle w:val="Heading1"/>
      </w:pPr>
      <w:bookmarkStart w:id="31" w:name="_Management_of_contacts"/>
      <w:bookmarkStart w:id="32" w:name="_Toc212720532"/>
      <w:bookmarkStart w:id="33" w:name="_Toc219273887"/>
      <w:bookmarkEnd w:id="31"/>
      <w:r w:rsidRPr="00ED740A">
        <w:t>Management of contacts</w:t>
      </w:r>
      <w:bookmarkEnd w:id="32"/>
      <w:bookmarkEnd w:id="33"/>
      <w:r w:rsidRPr="00ED740A">
        <w:t xml:space="preserve"> </w:t>
      </w:r>
    </w:p>
    <w:p w14:paraId="03EE7F80" w14:textId="77777777" w:rsidR="00C818DB" w:rsidRDefault="00C818DB" w:rsidP="001D5707">
      <w:pPr>
        <w:pStyle w:val="Default"/>
        <w:spacing w:line="276" w:lineRule="auto"/>
        <w:rPr>
          <w:rFonts w:asciiTheme="minorHAnsi" w:hAnsiTheme="minorHAnsi" w:cstheme="minorHAnsi"/>
        </w:rPr>
      </w:pPr>
      <w:r w:rsidRPr="00895516">
        <w:rPr>
          <w:rFonts w:asciiTheme="minorHAnsi" w:hAnsiTheme="minorHAnsi" w:cstheme="minorHAnsi"/>
        </w:rPr>
        <w:t xml:space="preserve">Partner notification will identify those at risk, reduce disease transmission/re-infection and ultimately prevent disease sequelae. </w:t>
      </w:r>
    </w:p>
    <w:p w14:paraId="6F9E0A71" w14:textId="77777777" w:rsidR="00C818DB" w:rsidRDefault="00C818DB" w:rsidP="001D5707">
      <w:pPr>
        <w:pStyle w:val="Default"/>
        <w:spacing w:line="276" w:lineRule="auto"/>
        <w:rPr>
          <w:rFonts w:asciiTheme="minorHAnsi" w:hAnsiTheme="minorHAnsi" w:cstheme="minorHAnsi"/>
        </w:rPr>
      </w:pPr>
    </w:p>
    <w:p w14:paraId="1D03930E" w14:textId="77777777" w:rsidR="00C818DB" w:rsidRPr="007F32AD" w:rsidRDefault="00C818DB" w:rsidP="001D5707">
      <w:pPr>
        <w:pStyle w:val="Default"/>
        <w:spacing w:line="276" w:lineRule="auto"/>
        <w:rPr>
          <w:rFonts w:asciiTheme="minorHAnsi" w:hAnsiTheme="minorHAnsi" w:cstheme="minorHAnsi"/>
          <w:u w:val="single"/>
        </w:rPr>
      </w:pPr>
      <w:r w:rsidRPr="007F32AD">
        <w:rPr>
          <w:rFonts w:asciiTheme="minorHAnsi" w:hAnsiTheme="minorHAnsi" w:cstheme="minorHAnsi"/>
          <w:u w:val="single"/>
        </w:rPr>
        <w:t xml:space="preserve">Health Care Providers will: </w:t>
      </w:r>
    </w:p>
    <w:p w14:paraId="2D2D3942" w14:textId="0954ED4A" w:rsidR="00C818DB" w:rsidRDefault="00C818DB" w:rsidP="001D5707">
      <w:pPr>
        <w:pStyle w:val="Default"/>
        <w:numPr>
          <w:ilvl w:val="0"/>
          <w:numId w:val="44"/>
        </w:numPr>
        <w:spacing w:line="276" w:lineRule="auto"/>
        <w:rPr>
          <w:rFonts w:asciiTheme="minorHAnsi" w:hAnsiTheme="minorHAnsi" w:cstheme="minorHAnsi"/>
        </w:rPr>
      </w:pPr>
      <w:r>
        <w:rPr>
          <w:rFonts w:asciiTheme="minorHAnsi" w:hAnsiTheme="minorHAnsi" w:cstheme="minorHAnsi"/>
        </w:rPr>
        <w:t>Test and treat (as appropriate) contacts of a case of chlamydia</w:t>
      </w:r>
    </w:p>
    <w:p w14:paraId="76F758E8" w14:textId="77777777" w:rsidR="007F32AD" w:rsidRDefault="007F32AD" w:rsidP="001D5707">
      <w:pPr>
        <w:pStyle w:val="Default"/>
        <w:spacing w:line="276" w:lineRule="auto"/>
        <w:rPr>
          <w:rFonts w:asciiTheme="minorHAnsi" w:hAnsiTheme="minorHAnsi" w:cstheme="minorHAnsi"/>
          <w:u w:val="single"/>
        </w:rPr>
      </w:pPr>
    </w:p>
    <w:p w14:paraId="3AFA6328" w14:textId="50FF8DFF" w:rsidR="00C818DB" w:rsidRPr="007F32AD" w:rsidRDefault="00C818DB" w:rsidP="001D5707">
      <w:pPr>
        <w:pStyle w:val="Default"/>
        <w:spacing w:line="276" w:lineRule="auto"/>
        <w:rPr>
          <w:rFonts w:asciiTheme="minorHAnsi" w:hAnsiTheme="minorHAnsi" w:cstheme="minorHAnsi"/>
          <w:u w:val="single"/>
        </w:rPr>
      </w:pPr>
      <w:r w:rsidRPr="007F32AD">
        <w:rPr>
          <w:rFonts w:asciiTheme="minorHAnsi" w:hAnsiTheme="minorHAnsi" w:cstheme="minorHAnsi"/>
          <w:u w:val="single"/>
        </w:rPr>
        <w:lastRenderedPageBreak/>
        <w:t>Public Health Nursing will:</w:t>
      </w:r>
    </w:p>
    <w:p w14:paraId="32BAC8A1" w14:textId="77777777" w:rsidR="00C818DB" w:rsidRPr="00895516" w:rsidRDefault="00C818DB" w:rsidP="001D5707">
      <w:pPr>
        <w:pStyle w:val="Default"/>
        <w:numPr>
          <w:ilvl w:val="0"/>
          <w:numId w:val="43"/>
        </w:numPr>
        <w:spacing w:line="276" w:lineRule="auto"/>
        <w:rPr>
          <w:rFonts w:asciiTheme="minorHAnsi" w:hAnsiTheme="minorHAnsi" w:cstheme="minorHAnsi"/>
        </w:rPr>
      </w:pPr>
      <w:r>
        <w:rPr>
          <w:rFonts w:asciiTheme="minorHAnsi" w:hAnsiTheme="minorHAnsi" w:cstheme="minorHAnsi"/>
        </w:rPr>
        <w:t>Initiate p</w:t>
      </w:r>
      <w:r w:rsidRPr="00895516">
        <w:rPr>
          <w:rFonts w:asciiTheme="minorHAnsi" w:hAnsiTheme="minorHAnsi" w:cstheme="minorHAnsi"/>
        </w:rPr>
        <w:t xml:space="preserve">artner/contact follow up </w:t>
      </w:r>
    </w:p>
    <w:p w14:paraId="42AF8CD3" w14:textId="77777777" w:rsidR="00C818DB" w:rsidRPr="00895516" w:rsidRDefault="00C818DB" w:rsidP="001D5707">
      <w:pPr>
        <w:pStyle w:val="Default"/>
        <w:numPr>
          <w:ilvl w:val="0"/>
          <w:numId w:val="43"/>
        </w:numPr>
        <w:spacing w:line="276" w:lineRule="auto"/>
        <w:rPr>
          <w:rFonts w:asciiTheme="minorHAnsi" w:hAnsiTheme="minorHAnsi" w:cstheme="minorHAnsi"/>
        </w:rPr>
      </w:pPr>
      <w:r>
        <w:rPr>
          <w:rFonts w:asciiTheme="minorHAnsi" w:hAnsiTheme="minorHAnsi" w:cstheme="minorHAnsi"/>
        </w:rPr>
        <w:t>Instruct contacts</w:t>
      </w:r>
      <w:r w:rsidRPr="00895516">
        <w:rPr>
          <w:rFonts w:asciiTheme="minorHAnsi" w:hAnsiTheme="minorHAnsi" w:cstheme="minorHAnsi"/>
        </w:rPr>
        <w:t xml:space="preserve"> about infection transmission. </w:t>
      </w:r>
    </w:p>
    <w:p w14:paraId="63BA474D" w14:textId="77777777" w:rsidR="00C818DB" w:rsidRDefault="00C818DB" w:rsidP="001D5707">
      <w:pPr>
        <w:pStyle w:val="Default"/>
        <w:numPr>
          <w:ilvl w:val="0"/>
          <w:numId w:val="43"/>
        </w:numPr>
        <w:spacing w:line="276" w:lineRule="auto"/>
        <w:rPr>
          <w:rFonts w:asciiTheme="minorHAnsi" w:hAnsiTheme="minorHAnsi" w:cstheme="minorHAnsi"/>
        </w:rPr>
      </w:pPr>
      <w:r>
        <w:rPr>
          <w:rFonts w:asciiTheme="minorHAnsi" w:hAnsiTheme="minorHAnsi" w:cstheme="minorHAnsi"/>
        </w:rPr>
        <w:t>P</w:t>
      </w:r>
      <w:r w:rsidRPr="00895516">
        <w:rPr>
          <w:rFonts w:asciiTheme="minorHAnsi" w:hAnsiTheme="minorHAnsi" w:cstheme="minorHAnsi"/>
        </w:rPr>
        <w:t xml:space="preserve">rovide </w:t>
      </w:r>
      <w:r>
        <w:rPr>
          <w:rFonts w:asciiTheme="minorHAnsi" w:hAnsiTheme="minorHAnsi" w:cstheme="minorHAnsi"/>
        </w:rPr>
        <w:t xml:space="preserve">contacts </w:t>
      </w:r>
      <w:r w:rsidRPr="00895516">
        <w:rPr>
          <w:rFonts w:asciiTheme="minorHAnsi" w:hAnsiTheme="minorHAnsi" w:cstheme="minorHAnsi"/>
        </w:rPr>
        <w:t xml:space="preserve">with individualized STI prevention education, targeted at developing knowledge, skills, attitudes and behaviors to reduce the risk and prevent recurrences of STI. </w:t>
      </w:r>
    </w:p>
    <w:p w14:paraId="7C4E4E34" w14:textId="77777777" w:rsidR="00C818DB" w:rsidRPr="007F32AD" w:rsidRDefault="00C818DB" w:rsidP="001D5707">
      <w:pPr>
        <w:pStyle w:val="Default"/>
        <w:spacing w:line="276" w:lineRule="auto"/>
        <w:rPr>
          <w:rFonts w:asciiTheme="minorHAnsi" w:hAnsiTheme="minorHAnsi" w:cstheme="minorHAnsi"/>
          <w:u w:val="single"/>
        </w:rPr>
      </w:pPr>
      <w:r w:rsidRPr="007F32AD">
        <w:rPr>
          <w:rFonts w:asciiTheme="minorHAnsi" w:hAnsiTheme="minorHAnsi" w:cstheme="minorHAnsi"/>
          <w:u w:val="single"/>
        </w:rPr>
        <w:t>CPHO will:</w:t>
      </w:r>
    </w:p>
    <w:p w14:paraId="631B1D0C" w14:textId="77777777" w:rsidR="00C818DB" w:rsidRPr="00895516" w:rsidRDefault="00C818DB" w:rsidP="001D5707">
      <w:pPr>
        <w:pStyle w:val="Default"/>
        <w:numPr>
          <w:ilvl w:val="0"/>
          <w:numId w:val="43"/>
        </w:numPr>
        <w:spacing w:line="276" w:lineRule="auto"/>
        <w:rPr>
          <w:rFonts w:asciiTheme="minorHAnsi" w:hAnsiTheme="minorHAnsi" w:cstheme="minorHAnsi"/>
        </w:rPr>
      </w:pPr>
      <w:r w:rsidRPr="00895516">
        <w:rPr>
          <w:rFonts w:asciiTheme="minorHAnsi" w:hAnsiTheme="minorHAnsi" w:cstheme="minorHAnsi"/>
        </w:rPr>
        <w:t xml:space="preserve">CPHO will refer all out-of-province/country cases and partner(s) to the appropriate jurisdiction. </w:t>
      </w:r>
    </w:p>
    <w:p w14:paraId="2BBE3E75" w14:textId="77777777" w:rsidR="00C818DB" w:rsidRPr="00557231" w:rsidRDefault="00C818DB" w:rsidP="00E731F2">
      <w:pPr>
        <w:shd w:val="clear" w:color="auto" w:fill="FFFFFF"/>
        <w:spacing w:after="173" w:line="240" w:lineRule="auto"/>
        <w:rPr>
          <w:rFonts w:eastAsia="Times New Roman" w:cstheme="minorHAnsi"/>
          <w:color w:val="333333"/>
          <w:szCs w:val="24"/>
          <w:lang w:val="en-US"/>
        </w:rPr>
      </w:pPr>
    </w:p>
    <w:p w14:paraId="1B64175A" w14:textId="5C43C22E" w:rsidR="00E731F2" w:rsidRPr="003D16EA" w:rsidRDefault="00D11E5B" w:rsidP="00D11E5B">
      <w:pPr>
        <w:pStyle w:val="Default"/>
        <w:rPr>
          <w:rFonts w:asciiTheme="minorHAnsi" w:hAnsiTheme="minorHAnsi" w:cstheme="minorHAnsi"/>
          <w:b/>
          <w:bCs/>
          <w:sz w:val="28"/>
          <w:szCs w:val="28"/>
        </w:rPr>
      </w:pPr>
      <w:r w:rsidRPr="003D16EA">
        <w:rPr>
          <w:rFonts w:asciiTheme="minorHAnsi" w:hAnsiTheme="minorHAnsi" w:cstheme="minorHAnsi"/>
          <w:b/>
          <w:bCs/>
          <w:sz w:val="28"/>
          <w:szCs w:val="28"/>
        </w:rPr>
        <w:t>Follow up</w:t>
      </w:r>
    </w:p>
    <w:p w14:paraId="262B7766" w14:textId="5B31AA6E" w:rsidR="00541094" w:rsidRDefault="00667868" w:rsidP="001D5707">
      <w:pPr>
        <w:pStyle w:val="Default"/>
        <w:numPr>
          <w:ilvl w:val="0"/>
          <w:numId w:val="7"/>
        </w:numPr>
        <w:spacing w:line="276" w:lineRule="auto"/>
        <w:rPr>
          <w:rFonts w:ascii="Times New Roman" w:hAnsi="Times New Roman" w:cs="Times New Roman"/>
        </w:rPr>
      </w:pPr>
      <w:r>
        <w:rPr>
          <w:rFonts w:asciiTheme="minorHAnsi" w:hAnsiTheme="minorHAnsi" w:cs="Times New Roman"/>
        </w:rPr>
        <w:t xml:space="preserve">Pelvic inflammatory </w:t>
      </w:r>
      <w:r w:rsidR="00014AF3">
        <w:rPr>
          <w:rFonts w:asciiTheme="minorHAnsi" w:hAnsiTheme="minorHAnsi" w:cs="Times New Roman"/>
        </w:rPr>
        <w:t>disease</w:t>
      </w:r>
      <w:r w:rsidR="00080F40">
        <w:rPr>
          <w:rFonts w:asciiTheme="minorHAnsi" w:hAnsiTheme="minorHAnsi" w:cs="Times New Roman"/>
        </w:rPr>
        <w:t xml:space="preserve"> or epididymitis</w:t>
      </w:r>
      <w:r>
        <w:rPr>
          <w:rFonts w:asciiTheme="minorHAnsi" w:hAnsiTheme="minorHAnsi" w:cs="Times New Roman"/>
        </w:rPr>
        <w:t xml:space="preserve"> </w:t>
      </w:r>
      <w:r w:rsidR="00A6721F">
        <w:rPr>
          <w:rFonts w:asciiTheme="minorHAnsi" w:hAnsiTheme="minorHAnsi" w:cs="Times New Roman"/>
        </w:rPr>
        <w:t>(complicated infections) require alternative courses of therapy.</w:t>
      </w:r>
    </w:p>
    <w:p w14:paraId="6C90507B" w14:textId="77777777" w:rsidR="00541094" w:rsidRDefault="008D138C" w:rsidP="001D5707">
      <w:pPr>
        <w:pStyle w:val="Default"/>
        <w:numPr>
          <w:ilvl w:val="0"/>
          <w:numId w:val="7"/>
        </w:numPr>
        <w:spacing w:line="276" w:lineRule="auto"/>
        <w:rPr>
          <w:rFonts w:ascii="Times New Roman" w:hAnsi="Times New Roman" w:cs="Times New Roman"/>
        </w:rPr>
      </w:pPr>
      <w:r w:rsidRPr="00541094">
        <w:rPr>
          <w:rFonts w:asciiTheme="minorHAnsi" w:hAnsiTheme="minorHAnsi" w:cs="Times New Roman"/>
        </w:rPr>
        <w:t xml:space="preserve">Test of cure for </w:t>
      </w:r>
      <w:r w:rsidRPr="00541094">
        <w:rPr>
          <w:rFonts w:asciiTheme="minorHAnsi" w:hAnsiTheme="minorHAnsi" w:cs="Times New Roman"/>
          <w:i/>
          <w:iCs/>
        </w:rPr>
        <w:t xml:space="preserve">C. trachomatis </w:t>
      </w:r>
      <w:r w:rsidRPr="00541094">
        <w:rPr>
          <w:rFonts w:asciiTheme="minorHAnsi" w:hAnsiTheme="minorHAnsi" w:cs="Times New Roman"/>
        </w:rPr>
        <w:t>is</w:t>
      </w:r>
      <w:r w:rsidRPr="001F08AA">
        <w:rPr>
          <w:rFonts w:asciiTheme="minorHAnsi" w:hAnsiTheme="minorHAnsi" w:cs="Times New Roman"/>
          <w:i/>
        </w:rPr>
        <w:t xml:space="preserve"> not routinely</w:t>
      </w:r>
      <w:r w:rsidRPr="00541094">
        <w:rPr>
          <w:rFonts w:asciiTheme="minorHAnsi" w:hAnsiTheme="minorHAnsi" w:cs="Times New Roman"/>
        </w:rPr>
        <w:t xml:space="preserve"> recommended when appropriate treatment is taken, signs and symptoms disappear and there is no re-exposure to an untreated partner. </w:t>
      </w:r>
    </w:p>
    <w:p w14:paraId="776C6302" w14:textId="77777777" w:rsidR="008D138C" w:rsidRPr="00541094" w:rsidRDefault="008D138C" w:rsidP="001D5707">
      <w:pPr>
        <w:pStyle w:val="Default"/>
        <w:numPr>
          <w:ilvl w:val="0"/>
          <w:numId w:val="7"/>
        </w:numPr>
        <w:spacing w:line="276" w:lineRule="auto"/>
        <w:rPr>
          <w:rFonts w:ascii="Times New Roman" w:hAnsi="Times New Roman" w:cs="Times New Roman"/>
        </w:rPr>
      </w:pPr>
      <w:r w:rsidRPr="00541094">
        <w:rPr>
          <w:rFonts w:asciiTheme="minorHAnsi" w:hAnsiTheme="minorHAnsi" w:cs="Times New Roman"/>
        </w:rPr>
        <w:t>Test of cure</w:t>
      </w:r>
      <w:r w:rsidRPr="001F08AA">
        <w:rPr>
          <w:rFonts w:asciiTheme="minorHAnsi" w:hAnsiTheme="minorHAnsi" w:cs="Times New Roman"/>
          <w:b/>
        </w:rPr>
        <w:t xml:space="preserve"> </w:t>
      </w:r>
      <w:r w:rsidRPr="001F08AA">
        <w:rPr>
          <w:rFonts w:asciiTheme="minorHAnsi" w:hAnsiTheme="minorHAnsi" w:cs="Times New Roman"/>
          <w:i/>
        </w:rPr>
        <w:t>is</w:t>
      </w:r>
      <w:r w:rsidRPr="00541094">
        <w:rPr>
          <w:rFonts w:asciiTheme="minorHAnsi" w:hAnsiTheme="minorHAnsi" w:cs="Times New Roman"/>
        </w:rPr>
        <w:t xml:space="preserve"> recommended when: </w:t>
      </w:r>
    </w:p>
    <w:p w14:paraId="141F4C53" w14:textId="0FCB73C9" w:rsidR="008D138C" w:rsidRDefault="008D138C" w:rsidP="001D5707">
      <w:pPr>
        <w:pStyle w:val="Default"/>
        <w:numPr>
          <w:ilvl w:val="1"/>
          <w:numId w:val="3"/>
        </w:numPr>
        <w:spacing w:line="276" w:lineRule="auto"/>
        <w:rPr>
          <w:rFonts w:asciiTheme="minorHAnsi" w:hAnsiTheme="minorHAnsi" w:cs="Times New Roman"/>
        </w:rPr>
      </w:pPr>
      <w:r w:rsidRPr="00650C46">
        <w:rPr>
          <w:rFonts w:asciiTheme="minorHAnsi" w:hAnsiTheme="minorHAnsi" w:cs="Times New Roman"/>
        </w:rPr>
        <w:t xml:space="preserve">compliance </w:t>
      </w:r>
      <w:r w:rsidR="006C24DC">
        <w:rPr>
          <w:rFonts w:asciiTheme="minorHAnsi" w:hAnsiTheme="minorHAnsi" w:cs="Times New Roman"/>
        </w:rPr>
        <w:t xml:space="preserve">to the prescribed treatment </w:t>
      </w:r>
      <w:r w:rsidRPr="00650C46">
        <w:rPr>
          <w:rFonts w:asciiTheme="minorHAnsi" w:hAnsiTheme="minorHAnsi" w:cs="Times New Roman"/>
        </w:rPr>
        <w:t>is sub-optimal</w:t>
      </w:r>
    </w:p>
    <w:p w14:paraId="38ED0D94" w14:textId="4E9B7910" w:rsidR="006C24DC" w:rsidRPr="00650C46" w:rsidRDefault="006C24DC" w:rsidP="001D5707">
      <w:pPr>
        <w:pStyle w:val="Default"/>
        <w:numPr>
          <w:ilvl w:val="1"/>
          <w:numId w:val="3"/>
        </w:numPr>
        <w:spacing w:line="276" w:lineRule="auto"/>
        <w:rPr>
          <w:rFonts w:asciiTheme="minorHAnsi" w:hAnsiTheme="minorHAnsi" w:cs="Times New Roman"/>
        </w:rPr>
      </w:pPr>
      <w:r>
        <w:rPr>
          <w:rFonts w:asciiTheme="minorHAnsi" w:hAnsiTheme="minorHAnsi" w:cs="Times New Roman"/>
        </w:rPr>
        <w:t>signs and symptoms persist post treatment</w:t>
      </w:r>
    </w:p>
    <w:p w14:paraId="0FBFC4BA" w14:textId="6A45B8B2" w:rsidR="008D138C" w:rsidRPr="00650C46" w:rsidRDefault="008D138C" w:rsidP="001D5707">
      <w:pPr>
        <w:pStyle w:val="Default"/>
        <w:numPr>
          <w:ilvl w:val="1"/>
          <w:numId w:val="3"/>
        </w:numPr>
        <w:spacing w:line="276" w:lineRule="auto"/>
        <w:rPr>
          <w:rFonts w:asciiTheme="minorHAnsi" w:hAnsiTheme="minorHAnsi" w:cs="Times New Roman"/>
        </w:rPr>
      </w:pPr>
      <w:r w:rsidRPr="00650C46">
        <w:rPr>
          <w:rFonts w:asciiTheme="minorHAnsi" w:hAnsiTheme="minorHAnsi" w:cs="Times New Roman"/>
        </w:rPr>
        <w:t>an alternative treatment regimen has been used</w:t>
      </w:r>
    </w:p>
    <w:p w14:paraId="4AEACC5E" w14:textId="34BBA8B8" w:rsidR="008D138C" w:rsidRPr="00650C46" w:rsidRDefault="008D138C" w:rsidP="001D5707">
      <w:pPr>
        <w:pStyle w:val="Default"/>
        <w:numPr>
          <w:ilvl w:val="1"/>
          <w:numId w:val="3"/>
        </w:numPr>
        <w:spacing w:line="276" w:lineRule="auto"/>
        <w:rPr>
          <w:rFonts w:asciiTheme="minorHAnsi" w:hAnsiTheme="minorHAnsi" w:cs="Times New Roman"/>
        </w:rPr>
      </w:pPr>
      <w:r w:rsidRPr="00650C46">
        <w:rPr>
          <w:rFonts w:asciiTheme="minorHAnsi" w:hAnsiTheme="minorHAnsi" w:cs="Times New Roman"/>
        </w:rPr>
        <w:t xml:space="preserve">the </w:t>
      </w:r>
      <w:r w:rsidR="006C24DC">
        <w:rPr>
          <w:rFonts w:asciiTheme="minorHAnsi" w:hAnsiTheme="minorHAnsi" w:cs="Times New Roman"/>
        </w:rPr>
        <w:t>person</w:t>
      </w:r>
      <w:r w:rsidRPr="00650C46">
        <w:rPr>
          <w:rFonts w:asciiTheme="minorHAnsi" w:hAnsiTheme="minorHAnsi" w:cs="Times New Roman"/>
        </w:rPr>
        <w:t xml:space="preserve"> is </w:t>
      </w:r>
      <w:r w:rsidR="006C24DC">
        <w:rPr>
          <w:rFonts w:asciiTheme="minorHAnsi" w:hAnsiTheme="minorHAnsi" w:cs="Times New Roman"/>
        </w:rPr>
        <w:t>prepubertal</w:t>
      </w:r>
    </w:p>
    <w:p w14:paraId="2CAEFFDA" w14:textId="14936505" w:rsidR="008D138C" w:rsidRPr="00650C46" w:rsidRDefault="008D138C" w:rsidP="001D5707">
      <w:pPr>
        <w:pStyle w:val="Default"/>
        <w:numPr>
          <w:ilvl w:val="1"/>
          <w:numId w:val="3"/>
        </w:numPr>
        <w:spacing w:line="276" w:lineRule="auto"/>
        <w:rPr>
          <w:rFonts w:asciiTheme="minorHAnsi" w:hAnsiTheme="minorHAnsi" w:cs="Times New Roman"/>
        </w:rPr>
      </w:pPr>
      <w:r w:rsidRPr="00650C46">
        <w:rPr>
          <w:rFonts w:asciiTheme="minorHAnsi" w:hAnsiTheme="minorHAnsi" w:cs="Times New Roman"/>
        </w:rPr>
        <w:t>the patient is a pregnant</w:t>
      </w:r>
      <w:r w:rsidR="003D16EA">
        <w:rPr>
          <w:rFonts w:asciiTheme="minorHAnsi" w:hAnsiTheme="minorHAnsi" w:cs="Times New Roman"/>
        </w:rPr>
        <w:t xml:space="preserve"> person</w:t>
      </w:r>
      <w:r w:rsidRPr="00650C46">
        <w:rPr>
          <w:rFonts w:asciiTheme="minorHAnsi" w:hAnsiTheme="minorHAnsi" w:cs="Times New Roman"/>
        </w:rPr>
        <w:t>,</w:t>
      </w:r>
    </w:p>
    <w:p w14:paraId="653591A1" w14:textId="1B8AC700" w:rsidR="006C24DC" w:rsidRPr="001D5707" w:rsidRDefault="008D138C" w:rsidP="001D5707">
      <w:pPr>
        <w:pStyle w:val="Default"/>
        <w:numPr>
          <w:ilvl w:val="1"/>
          <w:numId w:val="3"/>
        </w:numPr>
        <w:spacing w:line="276" w:lineRule="auto"/>
        <w:rPr>
          <w:rFonts w:asciiTheme="minorHAnsi" w:hAnsiTheme="minorHAnsi" w:cs="Times New Roman"/>
        </w:rPr>
      </w:pPr>
      <w:r w:rsidRPr="00650C46">
        <w:rPr>
          <w:rFonts w:asciiTheme="minorHAnsi" w:hAnsiTheme="minorHAnsi" w:cs="Times New Roman"/>
        </w:rPr>
        <w:t xml:space="preserve">non-genital site involved (e.g., eye, rectum, pharynx) or in cases of complicated infection (PID or epididymitis). </w:t>
      </w:r>
    </w:p>
    <w:p w14:paraId="4152BD3B" w14:textId="77777777" w:rsidR="00AC2A2E" w:rsidRDefault="00AC2A2E" w:rsidP="001D5707">
      <w:pPr>
        <w:pStyle w:val="Default"/>
        <w:numPr>
          <w:ilvl w:val="0"/>
          <w:numId w:val="3"/>
        </w:numPr>
        <w:spacing w:line="276" w:lineRule="auto"/>
        <w:ind w:left="1170" w:hanging="450"/>
        <w:rPr>
          <w:rFonts w:asciiTheme="minorHAnsi" w:hAnsiTheme="minorHAnsi" w:cs="Times New Roman"/>
        </w:rPr>
      </w:pPr>
      <w:r>
        <w:rPr>
          <w:rFonts w:asciiTheme="minorHAnsi" w:hAnsiTheme="minorHAnsi" w:cs="Times New Roman"/>
        </w:rPr>
        <w:t xml:space="preserve">If </w:t>
      </w:r>
      <w:r w:rsidR="00014AF3">
        <w:rPr>
          <w:rFonts w:asciiTheme="minorHAnsi" w:hAnsiTheme="minorHAnsi" w:cs="Times New Roman"/>
        </w:rPr>
        <w:t xml:space="preserve">a test for cure is </w:t>
      </w:r>
      <w:r>
        <w:rPr>
          <w:rFonts w:asciiTheme="minorHAnsi" w:hAnsiTheme="minorHAnsi" w:cs="Times New Roman"/>
        </w:rPr>
        <w:t>required</w:t>
      </w:r>
      <w:r w:rsidR="00014AF3">
        <w:rPr>
          <w:rFonts w:asciiTheme="minorHAnsi" w:hAnsiTheme="minorHAnsi" w:cs="Times New Roman"/>
        </w:rPr>
        <w:t>:</w:t>
      </w:r>
    </w:p>
    <w:p w14:paraId="7134BAB2" w14:textId="50698B23" w:rsidR="006C24DC" w:rsidRPr="00D426C3" w:rsidRDefault="006C24DC" w:rsidP="001D5707">
      <w:pPr>
        <w:pStyle w:val="Default"/>
        <w:numPr>
          <w:ilvl w:val="1"/>
          <w:numId w:val="3"/>
        </w:numPr>
        <w:spacing w:line="276" w:lineRule="auto"/>
        <w:rPr>
          <w:rFonts w:asciiTheme="minorHAnsi" w:hAnsiTheme="minorHAnsi" w:cs="Times New Roman"/>
          <w:bCs/>
        </w:rPr>
      </w:pPr>
      <w:r w:rsidRPr="00D426C3">
        <w:rPr>
          <w:rFonts w:asciiTheme="minorHAnsi" w:hAnsiTheme="minorHAnsi" w:cs="Times New Roman"/>
          <w:bCs/>
        </w:rPr>
        <w:t xml:space="preserve">NAAT should be performed </w:t>
      </w:r>
      <w:r>
        <w:rPr>
          <w:rFonts w:asciiTheme="minorHAnsi" w:hAnsiTheme="minorHAnsi" w:cs="Times New Roman"/>
          <w:bCs/>
        </w:rPr>
        <w:t xml:space="preserve">3-4 </w:t>
      </w:r>
      <w:r w:rsidRPr="00D426C3">
        <w:rPr>
          <w:rFonts w:asciiTheme="minorHAnsi" w:hAnsiTheme="minorHAnsi" w:cs="Times New Roman"/>
          <w:bCs/>
        </w:rPr>
        <w:t>weeks after the completion of treatment to avoid detection of non-viable organisms and false-positive results.</w:t>
      </w:r>
    </w:p>
    <w:p w14:paraId="0D67997A" w14:textId="77777777" w:rsidR="007C3636" w:rsidRDefault="007C3636" w:rsidP="001D5707">
      <w:pPr>
        <w:pStyle w:val="ListParagraph"/>
        <w:spacing w:after="0"/>
        <w:ind w:left="360" w:hanging="360"/>
        <w:rPr>
          <w:b/>
        </w:rPr>
      </w:pPr>
    </w:p>
    <w:p w14:paraId="5A778362" w14:textId="77777777" w:rsidR="000159DF" w:rsidRPr="00CF47A7" w:rsidRDefault="000159DF" w:rsidP="00FD34F2">
      <w:pPr>
        <w:pStyle w:val="Heading1"/>
      </w:pPr>
      <w:bookmarkStart w:id="34" w:name="_Toc219273888"/>
      <w:r w:rsidRPr="00CF47A7">
        <w:t>Preventative measures</w:t>
      </w:r>
      <w:bookmarkEnd w:id="34"/>
    </w:p>
    <w:p w14:paraId="087D0933" w14:textId="611A2F2E" w:rsidR="002511BD" w:rsidRPr="00F20072" w:rsidRDefault="002511BD" w:rsidP="001D5707">
      <w:pPr>
        <w:spacing w:after="0"/>
      </w:pPr>
      <w:r>
        <w:t xml:space="preserve">Preventative measures for </w:t>
      </w:r>
      <w:r w:rsidR="00A024DA">
        <w:t xml:space="preserve">chlamydia </w:t>
      </w:r>
      <w:r>
        <w:t xml:space="preserve">can be </w:t>
      </w:r>
      <w:r w:rsidR="007F32AD">
        <w:t>provided</w:t>
      </w:r>
      <w:r>
        <w:t xml:space="preserve"> by the primary health care provider, public health nurse, and anyone else involved with the case and/or contacts.</w:t>
      </w:r>
    </w:p>
    <w:p w14:paraId="3FD6943D" w14:textId="0134259C" w:rsidR="002511BD" w:rsidRPr="008D6D03" w:rsidRDefault="002511BD" w:rsidP="001D5707">
      <w:pPr>
        <w:pStyle w:val="Default"/>
        <w:spacing w:line="276" w:lineRule="auto"/>
        <w:ind w:left="1080"/>
        <w:rPr>
          <w:rFonts w:asciiTheme="minorHAnsi" w:hAnsiTheme="minorHAnsi" w:cs="Times New Roman"/>
        </w:rPr>
      </w:pPr>
      <w:r w:rsidRPr="008D6D03">
        <w:rPr>
          <w:rFonts w:asciiTheme="minorHAnsi" w:hAnsiTheme="minorHAnsi" w:cs="Times New Roman"/>
        </w:rPr>
        <w:t xml:space="preserve"> </w:t>
      </w:r>
    </w:p>
    <w:p w14:paraId="1D4C7C47" w14:textId="77777777" w:rsidR="002511BD" w:rsidRPr="00AC2A2E" w:rsidRDefault="002511BD" w:rsidP="001D5707">
      <w:pPr>
        <w:pStyle w:val="ListParagraph"/>
        <w:numPr>
          <w:ilvl w:val="0"/>
          <w:numId w:val="38"/>
        </w:numPr>
        <w:spacing w:after="0"/>
      </w:pPr>
      <w:r w:rsidRPr="00AC2A2E">
        <w:t>H</w:t>
      </w:r>
      <w:r>
        <w:t>eath Care Providers should i</w:t>
      </w:r>
      <w:r w:rsidRPr="00AC2A2E">
        <w:t xml:space="preserve">nclude sexual health assessments in routine health visits </w:t>
      </w:r>
      <w:r>
        <w:t>and test accordingly.</w:t>
      </w:r>
    </w:p>
    <w:p w14:paraId="29D02A74" w14:textId="77777777" w:rsidR="002511BD" w:rsidRPr="008D6D03" w:rsidRDefault="002511BD" w:rsidP="001D5707">
      <w:pPr>
        <w:pStyle w:val="Default"/>
        <w:numPr>
          <w:ilvl w:val="0"/>
          <w:numId w:val="38"/>
        </w:numPr>
        <w:spacing w:line="276" w:lineRule="auto"/>
        <w:rPr>
          <w:rFonts w:asciiTheme="minorHAnsi" w:hAnsiTheme="minorHAnsi" w:cs="Times New Roman"/>
        </w:rPr>
      </w:pPr>
      <w:r w:rsidRPr="008D6D03">
        <w:rPr>
          <w:rFonts w:asciiTheme="minorHAnsi" w:hAnsiTheme="minorHAnsi" w:cs="Times New Roman"/>
        </w:rPr>
        <w:t xml:space="preserve">Include information about risk for STI during pre-travel health counselling. </w:t>
      </w:r>
    </w:p>
    <w:p w14:paraId="31F96CE6" w14:textId="77777777" w:rsidR="002511BD" w:rsidRDefault="002511BD" w:rsidP="001D5707">
      <w:pPr>
        <w:pStyle w:val="Default"/>
        <w:numPr>
          <w:ilvl w:val="0"/>
          <w:numId w:val="38"/>
        </w:numPr>
        <w:spacing w:line="276" w:lineRule="auto"/>
        <w:rPr>
          <w:rFonts w:asciiTheme="minorHAnsi" w:hAnsiTheme="minorHAnsi" w:cs="Times New Roman"/>
        </w:rPr>
      </w:pPr>
      <w:r w:rsidRPr="008D6D03">
        <w:rPr>
          <w:rFonts w:asciiTheme="minorHAnsi" w:hAnsiTheme="minorHAnsi" w:cs="Times New Roman"/>
        </w:rPr>
        <w:t xml:space="preserve">Make STI services culturally appropriate, and readily accessible and acceptable, regardless of economic status. </w:t>
      </w:r>
    </w:p>
    <w:p w14:paraId="48D37557" w14:textId="77777777" w:rsidR="002511BD" w:rsidRPr="008D6D03" w:rsidRDefault="002511BD" w:rsidP="001D5707">
      <w:pPr>
        <w:pStyle w:val="Default"/>
        <w:numPr>
          <w:ilvl w:val="0"/>
          <w:numId w:val="38"/>
        </w:numPr>
        <w:spacing w:line="276" w:lineRule="auto"/>
        <w:rPr>
          <w:rFonts w:asciiTheme="minorHAnsi" w:hAnsiTheme="minorHAnsi" w:cs="Times New Roman"/>
        </w:rPr>
      </w:pPr>
      <w:r>
        <w:rPr>
          <w:rFonts w:asciiTheme="minorHAnsi" w:hAnsiTheme="minorHAnsi" w:cs="Times New Roman"/>
        </w:rPr>
        <w:lastRenderedPageBreak/>
        <w:t xml:space="preserve">Encourage clients to </w:t>
      </w:r>
      <w:r w:rsidRPr="004D0EAB">
        <w:rPr>
          <w:rFonts w:asciiTheme="minorHAnsi" w:hAnsiTheme="minorHAnsi" w:cs="Times New Roman"/>
        </w:rPr>
        <w:t>talk</w:t>
      </w:r>
      <w:r>
        <w:rPr>
          <w:rFonts w:asciiTheme="minorHAnsi" w:hAnsiTheme="minorHAnsi" w:cs="Times New Roman"/>
        </w:rPr>
        <w:t xml:space="preserve"> </w:t>
      </w:r>
      <w:r w:rsidRPr="004D0EAB">
        <w:rPr>
          <w:rFonts w:asciiTheme="minorHAnsi" w:hAnsiTheme="minorHAnsi" w:cs="Times New Roman"/>
        </w:rPr>
        <w:t>openly about STIs and safe sex with every partner</w:t>
      </w:r>
      <w:r>
        <w:rPr>
          <w:rFonts w:asciiTheme="minorHAnsi" w:hAnsiTheme="minorHAnsi" w:cs="Times New Roman"/>
        </w:rPr>
        <w:t>. It</w:t>
      </w:r>
      <w:r w:rsidRPr="004D0EAB">
        <w:rPr>
          <w:rFonts w:asciiTheme="minorHAnsi" w:hAnsiTheme="minorHAnsi" w:cs="Times New Roman"/>
        </w:rPr>
        <w:t xml:space="preserve"> is important in protecting </w:t>
      </w:r>
      <w:r>
        <w:rPr>
          <w:rFonts w:asciiTheme="minorHAnsi" w:hAnsiTheme="minorHAnsi" w:cs="Times New Roman"/>
        </w:rPr>
        <w:t>both partners.</w:t>
      </w:r>
    </w:p>
    <w:p w14:paraId="734976E0" w14:textId="77777777" w:rsidR="002511BD" w:rsidRPr="00CC3529" w:rsidRDefault="002511BD" w:rsidP="001D5707">
      <w:pPr>
        <w:pStyle w:val="Default"/>
        <w:numPr>
          <w:ilvl w:val="0"/>
          <w:numId w:val="38"/>
        </w:numPr>
        <w:spacing w:line="276" w:lineRule="auto"/>
        <w:rPr>
          <w:rFonts w:asciiTheme="minorHAnsi" w:hAnsiTheme="minorHAnsi" w:cs="Times New Roman"/>
        </w:rPr>
      </w:pPr>
      <w:r w:rsidRPr="00CC3529">
        <w:rPr>
          <w:rFonts w:asciiTheme="minorHAnsi" w:hAnsiTheme="minorHAnsi" w:cs="Times New Roman"/>
        </w:rPr>
        <w:t>Educate the case, sexual partner(s), and the public about symptoms</w:t>
      </w:r>
      <w:r w:rsidRPr="00CC3529">
        <w:rPr>
          <w:rFonts w:asciiTheme="minorHAnsi" w:hAnsiTheme="minorHAnsi" w:cs="Times New Roman"/>
          <w:b/>
          <w:bCs/>
        </w:rPr>
        <w:t xml:space="preserve">, </w:t>
      </w:r>
      <w:r w:rsidRPr="00CC3529">
        <w:rPr>
          <w:rFonts w:asciiTheme="minorHAnsi" w:hAnsiTheme="minorHAnsi" w:cs="Times New Roman"/>
        </w:rPr>
        <w:t>transmission and prevention of infection including tip</w:t>
      </w:r>
      <w:r>
        <w:rPr>
          <w:rFonts w:asciiTheme="minorHAnsi" w:hAnsiTheme="minorHAnsi" w:cs="Times New Roman"/>
        </w:rPr>
        <w:t>s</w:t>
      </w:r>
      <w:r w:rsidRPr="00CC3529">
        <w:rPr>
          <w:rFonts w:asciiTheme="minorHAnsi" w:hAnsiTheme="minorHAnsi" w:cs="Times New Roman"/>
        </w:rPr>
        <w:t xml:space="preserve"> on safer sex:</w:t>
      </w:r>
    </w:p>
    <w:p w14:paraId="64625B45" w14:textId="77777777" w:rsidR="002511BD" w:rsidRPr="00AC6129" w:rsidRDefault="002511BD" w:rsidP="001D5707">
      <w:pPr>
        <w:pStyle w:val="ListParagraph"/>
        <w:numPr>
          <w:ilvl w:val="1"/>
          <w:numId w:val="38"/>
        </w:numPr>
        <w:rPr>
          <w:rFonts w:cstheme="minorHAnsi"/>
          <w:lang w:val="en-US"/>
        </w:rPr>
      </w:pPr>
      <w:r w:rsidRPr="00AC6129">
        <w:rPr>
          <w:rFonts w:cstheme="minorHAnsi"/>
          <w:lang w:val="en-US"/>
        </w:rPr>
        <w:t>Carry condoms and dental dams, check the expiry date regularly</w:t>
      </w:r>
    </w:p>
    <w:p w14:paraId="2C54557C" w14:textId="77777777" w:rsidR="002511BD" w:rsidRPr="00AC6129" w:rsidRDefault="002511BD" w:rsidP="001D5707">
      <w:pPr>
        <w:pStyle w:val="ListParagraph"/>
        <w:numPr>
          <w:ilvl w:val="1"/>
          <w:numId w:val="38"/>
        </w:numPr>
        <w:rPr>
          <w:rFonts w:cstheme="minorHAnsi"/>
          <w:lang w:val="en-US"/>
        </w:rPr>
      </w:pPr>
      <w:r w:rsidRPr="00AC6129">
        <w:rPr>
          <w:rFonts w:cstheme="minorHAnsi"/>
          <w:lang w:val="en-US"/>
        </w:rPr>
        <w:t>Be up to date on your vaccines against Hepatitis and HPV</w:t>
      </w:r>
    </w:p>
    <w:p w14:paraId="3A6053B5" w14:textId="77777777" w:rsidR="002511BD" w:rsidRDefault="002511BD" w:rsidP="001D5707">
      <w:pPr>
        <w:pStyle w:val="ListParagraph"/>
        <w:numPr>
          <w:ilvl w:val="1"/>
          <w:numId w:val="38"/>
        </w:numPr>
        <w:rPr>
          <w:rFonts w:cstheme="minorHAnsi"/>
          <w:lang w:val="en-US"/>
        </w:rPr>
      </w:pPr>
      <w:r w:rsidRPr="00AC6129">
        <w:rPr>
          <w:rFonts w:cstheme="minorHAnsi"/>
          <w:lang w:val="en-US"/>
        </w:rPr>
        <w:t>Get tested for STIs routinely</w:t>
      </w:r>
    </w:p>
    <w:p w14:paraId="65920453" w14:textId="5D5D32FE" w:rsidR="00AB4D5F" w:rsidRPr="00124342" w:rsidRDefault="00AB4D5F" w:rsidP="00FD34F2">
      <w:pPr>
        <w:pStyle w:val="Heading1"/>
      </w:pPr>
      <w:bookmarkStart w:id="35" w:name="_Toc219273889"/>
      <w:r w:rsidRPr="00124342">
        <w:t>Doxy PEP</w:t>
      </w:r>
      <w:bookmarkEnd w:id="35"/>
    </w:p>
    <w:p w14:paraId="34E6DA4C" w14:textId="2BC7D36D" w:rsidR="00D13EA9" w:rsidRPr="00D13EA9" w:rsidRDefault="00D13EA9" w:rsidP="00D13EA9">
      <w:pPr>
        <w:rPr>
          <w:lang w:val="en-US"/>
        </w:rPr>
      </w:pPr>
      <w:r>
        <w:rPr>
          <w:lang w:val="en-US"/>
        </w:rPr>
        <w:t xml:space="preserve">Doxy PEP is another form of prevention for bacterial STIs such as chlamydia, syphilis and to a lesser degree gonorrhea. </w:t>
      </w:r>
      <w:r w:rsidR="00616B54">
        <w:rPr>
          <w:lang w:val="en-US"/>
        </w:rPr>
        <w:t xml:space="preserve">The </w:t>
      </w:r>
      <w:r w:rsidR="00616B54" w:rsidRPr="00616B54">
        <w:t>National Advisory Committee on Sexually Transmitted and Blood-Borne Infections (NAC-STBBI) </w:t>
      </w:r>
      <w:r w:rsidR="00616B54">
        <w:t xml:space="preserve">has provided guidance on the use of Doxy PEP </w:t>
      </w:r>
      <w:r w:rsidR="00124342">
        <w:t>(</w:t>
      </w:r>
      <w:hyperlink w:anchor="_Appendix_C" w:history="1">
        <w:r w:rsidR="00124342" w:rsidRPr="00124342">
          <w:rPr>
            <w:rStyle w:val="Hyperlink"/>
          </w:rPr>
          <w:t>Appendix C</w:t>
        </w:r>
      </w:hyperlink>
      <w:r w:rsidR="00124342">
        <w:t>)</w:t>
      </w:r>
      <w:r w:rsidR="00616B54">
        <w:t xml:space="preserve"> </w:t>
      </w:r>
      <w:r w:rsidR="0045529B">
        <w:rPr>
          <w:lang w:val="en-US"/>
        </w:rPr>
        <w:t>This will be updated as new guidance is released.</w:t>
      </w:r>
      <w:r w:rsidR="008E4BA3">
        <w:rPr>
          <w:lang w:val="en-US"/>
        </w:rPr>
        <w:t xml:space="preserve"> The full document can be found </w:t>
      </w:r>
      <w:r w:rsidR="001B23A0">
        <w:rPr>
          <w:lang w:val="en-US"/>
        </w:rPr>
        <w:t>here</w:t>
      </w:r>
      <w:r w:rsidR="008E4BA3">
        <w:rPr>
          <w:lang w:val="en-US"/>
        </w:rPr>
        <w:t>:</w:t>
      </w:r>
      <w:r w:rsidR="001B23A0">
        <w:rPr>
          <w:lang w:val="en-US"/>
        </w:rPr>
        <w:t xml:space="preserve"> </w:t>
      </w:r>
      <w:hyperlink r:id="rId12" w:history="1">
        <w:r w:rsidR="001B23A0" w:rsidRPr="001B23A0">
          <w:rPr>
            <w:rStyle w:val="Hyperlink"/>
          </w:rPr>
          <w:t>Recommendations on the use of prophylactic doxycycline for the prevention of bacterial STI (chlamydia, gonorrhea, syphilis) - Canada.ca</w:t>
        </w:r>
      </w:hyperlink>
      <w:r w:rsidR="001B23A0">
        <w:rPr>
          <w:lang w:val="en-US"/>
        </w:rPr>
        <w:t xml:space="preserve"> </w:t>
      </w:r>
    </w:p>
    <w:p w14:paraId="2FD42308" w14:textId="77777777" w:rsidR="00D426C3" w:rsidRPr="00D426C3" w:rsidRDefault="00D426C3" w:rsidP="002511BD">
      <w:pPr>
        <w:pStyle w:val="Default"/>
        <w:rPr>
          <w:rFonts w:asciiTheme="minorHAnsi" w:hAnsiTheme="minorHAnsi" w:cs="Times New Roman"/>
          <w:b/>
        </w:rPr>
      </w:pPr>
    </w:p>
    <w:p w14:paraId="1D3A8BF1" w14:textId="77777777" w:rsidR="00C67A2A" w:rsidRPr="008D6D03" w:rsidRDefault="00C67A2A" w:rsidP="00FD34F2">
      <w:pPr>
        <w:pStyle w:val="Heading1"/>
      </w:pPr>
      <w:bookmarkStart w:id="36" w:name="_Toc212720534"/>
      <w:bookmarkStart w:id="37" w:name="_Toc219273890"/>
      <w:r w:rsidRPr="00FD34F2">
        <w:t>Screening</w:t>
      </w:r>
      <w:bookmarkEnd w:id="36"/>
      <w:bookmarkEnd w:id="37"/>
      <w:r w:rsidRPr="008D6D03">
        <w:t xml:space="preserve"> </w:t>
      </w:r>
    </w:p>
    <w:p w14:paraId="6E4E5FA5" w14:textId="3E58F2FC" w:rsidR="00C67A2A" w:rsidRDefault="00C67A2A" w:rsidP="00C67A2A">
      <w:pPr>
        <w:pStyle w:val="Default"/>
        <w:numPr>
          <w:ilvl w:val="0"/>
          <w:numId w:val="38"/>
        </w:numPr>
        <w:rPr>
          <w:rFonts w:asciiTheme="minorHAnsi" w:hAnsiTheme="minorHAnsi" w:cs="Times New Roman"/>
        </w:rPr>
      </w:pPr>
      <w:r w:rsidRPr="005C1B14">
        <w:rPr>
          <w:rFonts w:asciiTheme="minorHAnsi" w:hAnsiTheme="minorHAnsi" w:cs="Times New Roman"/>
        </w:rPr>
        <w:t xml:space="preserve">Should be </w:t>
      </w:r>
      <w:r>
        <w:rPr>
          <w:rFonts w:asciiTheme="minorHAnsi" w:hAnsiTheme="minorHAnsi" w:cs="Times New Roman"/>
        </w:rPr>
        <w:t>done for</w:t>
      </w:r>
      <w:r w:rsidRPr="005C1B14">
        <w:rPr>
          <w:rFonts w:asciiTheme="minorHAnsi" w:hAnsiTheme="minorHAnsi" w:cs="Times New Roman"/>
        </w:rPr>
        <w:t xml:space="preserve"> anyone who </w:t>
      </w:r>
      <w:r>
        <w:rPr>
          <w:rFonts w:asciiTheme="minorHAnsi" w:hAnsiTheme="minorHAnsi" w:cs="Times New Roman"/>
        </w:rPr>
        <w:t>requests it</w:t>
      </w:r>
    </w:p>
    <w:p w14:paraId="6A175FFC" w14:textId="77777777" w:rsidR="00C67A2A" w:rsidRDefault="00C67A2A" w:rsidP="001D5707">
      <w:pPr>
        <w:pStyle w:val="Default"/>
        <w:numPr>
          <w:ilvl w:val="0"/>
          <w:numId w:val="38"/>
        </w:numPr>
        <w:spacing w:line="276" w:lineRule="auto"/>
        <w:rPr>
          <w:rFonts w:asciiTheme="minorHAnsi" w:hAnsiTheme="minorHAnsi" w:cs="Times New Roman"/>
        </w:rPr>
      </w:pPr>
      <w:r w:rsidRPr="007E3811">
        <w:rPr>
          <w:rFonts w:asciiTheme="minorHAnsi" w:hAnsiTheme="minorHAnsi" w:cs="Times New Roman"/>
        </w:rPr>
        <w:t>For persons with multiple sexual partners or a new partner since last tested, offer screening every three to six months</w:t>
      </w:r>
    </w:p>
    <w:p w14:paraId="1DCA32AC" w14:textId="0D7CCAAB" w:rsidR="00C67A2A" w:rsidRPr="008D6D03" w:rsidRDefault="00B90030" w:rsidP="001D5707">
      <w:pPr>
        <w:pStyle w:val="Default"/>
        <w:numPr>
          <w:ilvl w:val="0"/>
          <w:numId w:val="38"/>
        </w:numPr>
        <w:spacing w:line="276" w:lineRule="auto"/>
        <w:rPr>
          <w:rFonts w:asciiTheme="minorHAnsi" w:hAnsiTheme="minorHAnsi" w:cs="Times New Roman"/>
        </w:rPr>
      </w:pPr>
      <w:r>
        <w:rPr>
          <w:rFonts w:asciiTheme="minorHAnsi" w:hAnsiTheme="minorHAnsi" w:cs="Times New Roman"/>
        </w:rPr>
        <w:t>Screen a</w:t>
      </w:r>
      <w:r w:rsidR="00C67A2A" w:rsidRPr="008D6D03">
        <w:rPr>
          <w:rFonts w:asciiTheme="minorHAnsi" w:hAnsiTheme="minorHAnsi" w:cs="Times New Roman"/>
        </w:rPr>
        <w:t xml:space="preserve">ll sexually active persons under </w:t>
      </w:r>
      <w:r w:rsidR="00C67A2A">
        <w:rPr>
          <w:rFonts w:asciiTheme="minorHAnsi" w:hAnsiTheme="minorHAnsi" w:cs="Times New Roman"/>
        </w:rPr>
        <w:t>30</w:t>
      </w:r>
      <w:r w:rsidR="00C67A2A" w:rsidRPr="008D6D03">
        <w:rPr>
          <w:rFonts w:asciiTheme="minorHAnsi" w:hAnsiTheme="minorHAnsi" w:cs="Times New Roman"/>
        </w:rPr>
        <w:t xml:space="preserve"> years of age, at least annually. </w:t>
      </w:r>
    </w:p>
    <w:p w14:paraId="7106A814" w14:textId="01A76055" w:rsidR="00C67A2A" w:rsidRDefault="00B90030" w:rsidP="001D5707">
      <w:pPr>
        <w:pStyle w:val="Default"/>
        <w:numPr>
          <w:ilvl w:val="0"/>
          <w:numId w:val="38"/>
        </w:numPr>
        <w:spacing w:line="276" w:lineRule="auto"/>
        <w:rPr>
          <w:rFonts w:asciiTheme="minorHAnsi" w:hAnsiTheme="minorHAnsi" w:cs="Times New Roman"/>
        </w:rPr>
      </w:pPr>
      <w:r>
        <w:rPr>
          <w:rFonts w:asciiTheme="minorHAnsi" w:hAnsiTheme="minorHAnsi" w:cs="Times New Roman"/>
        </w:rPr>
        <w:t>Screen a</w:t>
      </w:r>
      <w:r w:rsidR="00C67A2A" w:rsidRPr="008D6D03">
        <w:rPr>
          <w:rFonts w:asciiTheme="minorHAnsi" w:hAnsiTheme="minorHAnsi" w:cs="Times New Roman"/>
        </w:rPr>
        <w:t xml:space="preserve">ll pregnant </w:t>
      </w:r>
      <w:r w:rsidR="00C67A2A">
        <w:rPr>
          <w:rFonts w:asciiTheme="minorHAnsi" w:hAnsiTheme="minorHAnsi" w:cs="Times New Roman"/>
        </w:rPr>
        <w:t>people:</w:t>
      </w:r>
    </w:p>
    <w:p w14:paraId="276AFEEE" w14:textId="77777777" w:rsidR="00C67A2A" w:rsidRDefault="00C67A2A" w:rsidP="001D5707">
      <w:pPr>
        <w:pStyle w:val="Default"/>
        <w:numPr>
          <w:ilvl w:val="1"/>
          <w:numId w:val="38"/>
        </w:numPr>
        <w:spacing w:line="276" w:lineRule="auto"/>
        <w:rPr>
          <w:rFonts w:asciiTheme="minorHAnsi" w:hAnsiTheme="minorHAnsi" w:cs="Times New Roman"/>
        </w:rPr>
      </w:pPr>
      <w:r w:rsidRPr="008D6D03">
        <w:rPr>
          <w:rFonts w:asciiTheme="minorHAnsi" w:hAnsiTheme="minorHAnsi" w:cs="Times New Roman"/>
        </w:rPr>
        <w:t>at first prenatal visit</w:t>
      </w:r>
    </w:p>
    <w:p w14:paraId="4EC2A715" w14:textId="77777777" w:rsidR="00C67A2A" w:rsidRDefault="00C67A2A" w:rsidP="001D5707">
      <w:pPr>
        <w:pStyle w:val="Default"/>
        <w:numPr>
          <w:ilvl w:val="1"/>
          <w:numId w:val="38"/>
        </w:numPr>
        <w:spacing w:line="276" w:lineRule="auto"/>
        <w:rPr>
          <w:rFonts w:asciiTheme="minorHAnsi" w:hAnsiTheme="minorHAnsi" w:cs="Times New Roman"/>
        </w:rPr>
      </w:pPr>
      <w:r>
        <w:rPr>
          <w:rFonts w:asciiTheme="minorHAnsi" w:hAnsiTheme="minorHAnsi" w:cs="Times New Roman"/>
        </w:rPr>
        <w:t>in</w:t>
      </w:r>
      <w:r w:rsidRPr="008D6D03">
        <w:rPr>
          <w:rFonts w:asciiTheme="minorHAnsi" w:hAnsiTheme="minorHAnsi" w:cs="Times New Roman"/>
        </w:rPr>
        <w:t xml:space="preserve"> third trimester</w:t>
      </w:r>
    </w:p>
    <w:p w14:paraId="1C90BA6E" w14:textId="77777777" w:rsidR="00C67A2A" w:rsidRPr="00A23AD3" w:rsidRDefault="00C67A2A" w:rsidP="001D5707">
      <w:pPr>
        <w:pStyle w:val="Default"/>
        <w:numPr>
          <w:ilvl w:val="0"/>
          <w:numId w:val="39"/>
        </w:numPr>
        <w:spacing w:line="276" w:lineRule="auto"/>
        <w:ind w:left="1080"/>
        <w:rPr>
          <w:rFonts w:asciiTheme="minorHAnsi" w:hAnsiTheme="minorHAnsi" w:cs="Times New Roman"/>
        </w:rPr>
      </w:pPr>
      <w:r w:rsidRPr="00A23AD3">
        <w:rPr>
          <w:rFonts w:asciiTheme="minorHAnsi" w:hAnsiTheme="minorHAnsi" w:cs="Times New Roman"/>
        </w:rPr>
        <w:t>Screen pregnant people at the time of labour in any of the following situations:</w:t>
      </w:r>
    </w:p>
    <w:p w14:paraId="774CD3B7" w14:textId="77777777" w:rsidR="00C67A2A" w:rsidRPr="00A23AD3" w:rsidRDefault="00C67A2A" w:rsidP="001D5707">
      <w:pPr>
        <w:pStyle w:val="Default"/>
        <w:numPr>
          <w:ilvl w:val="1"/>
          <w:numId w:val="38"/>
        </w:numPr>
        <w:spacing w:line="276" w:lineRule="auto"/>
        <w:rPr>
          <w:rFonts w:asciiTheme="minorHAnsi" w:hAnsiTheme="minorHAnsi" w:cs="Times New Roman"/>
        </w:rPr>
      </w:pPr>
      <w:r w:rsidRPr="00A23AD3">
        <w:rPr>
          <w:rFonts w:asciiTheme="minorHAnsi" w:hAnsiTheme="minorHAnsi" w:cs="Times New Roman"/>
        </w:rPr>
        <w:t>No prenatal screening has occurred (no valid results are available at the time of labour)</w:t>
      </w:r>
    </w:p>
    <w:p w14:paraId="596317CD" w14:textId="77777777" w:rsidR="00C67A2A" w:rsidRPr="00A23AD3" w:rsidRDefault="00C67A2A" w:rsidP="001D5707">
      <w:pPr>
        <w:pStyle w:val="Default"/>
        <w:numPr>
          <w:ilvl w:val="1"/>
          <w:numId w:val="38"/>
        </w:numPr>
        <w:spacing w:line="276" w:lineRule="auto"/>
        <w:rPr>
          <w:rFonts w:asciiTheme="minorHAnsi" w:hAnsiTheme="minorHAnsi" w:cs="Times New Roman"/>
        </w:rPr>
      </w:pPr>
      <w:r w:rsidRPr="00A23AD3">
        <w:rPr>
          <w:rFonts w:asciiTheme="minorHAnsi" w:hAnsiTheme="minorHAnsi" w:cs="Times New Roman"/>
        </w:rPr>
        <w:t>Third trimester screening has not occurred.</w:t>
      </w:r>
    </w:p>
    <w:p w14:paraId="49950B48" w14:textId="1C1AB45F" w:rsidR="00C67A2A" w:rsidRPr="008D6D03" w:rsidRDefault="00C67A2A" w:rsidP="001D5707">
      <w:pPr>
        <w:pStyle w:val="Default"/>
        <w:numPr>
          <w:ilvl w:val="1"/>
          <w:numId w:val="38"/>
        </w:numPr>
        <w:spacing w:line="276" w:lineRule="auto"/>
        <w:rPr>
          <w:rFonts w:asciiTheme="minorHAnsi" w:hAnsiTheme="minorHAnsi" w:cs="Times New Roman"/>
        </w:rPr>
      </w:pPr>
      <w:r w:rsidRPr="00A23AD3">
        <w:rPr>
          <w:rFonts w:asciiTheme="minorHAnsi" w:hAnsiTheme="minorHAnsi" w:cs="Times New Roman"/>
        </w:rPr>
        <w:t>A positive test result was obtained for C. trachomatis during pregnancy without appropriate follow-up, including treatment and a test-of-cure</w:t>
      </w:r>
    </w:p>
    <w:p w14:paraId="75DEB400" w14:textId="20EEAB1D" w:rsidR="00C67A2A" w:rsidRPr="008D6D03" w:rsidRDefault="00B90030" w:rsidP="001D5707">
      <w:pPr>
        <w:pStyle w:val="Default"/>
        <w:numPr>
          <w:ilvl w:val="0"/>
          <w:numId w:val="38"/>
        </w:numPr>
        <w:spacing w:line="276" w:lineRule="auto"/>
        <w:rPr>
          <w:rFonts w:asciiTheme="minorHAnsi" w:hAnsiTheme="minorHAnsi" w:cs="Times New Roman"/>
        </w:rPr>
      </w:pPr>
      <w:r>
        <w:rPr>
          <w:rFonts w:asciiTheme="minorHAnsi" w:hAnsiTheme="minorHAnsi" w:cs="Times New Roman"/>
        </w:rPr>
        <w:t>Screen p</w:t>
      </w:r>
      <w:r w:rsidR="00C67A2A" w:rsidRPr="008D6D03">
        <w:rPr>
          <w:rFonts w:asciiTheme="minorHAnsi" w:hAnsiTheme="minorHAnsi" w:cs="Times New Roman"/>
        </w:rPr>
        <w:t xml:space="preserve">rior to insertion of an IUD, a therapeutic abortion, or a dilation and curettage (D &amp; C). </w:t>
      </w:r>
    </w:p>
    <w:p w14:paraId="7BAC64F3" w14:textId="692358B9" w:rsidR="00C67A2A" w:rsidRDefault="00B90030" w:rsidP="001D5707">
      <w:pPr>
        <w:pStyle w:val="Default"/>
        <w:numPr>
          <w:ilvl w:val="0"/>
          <w:numId w:val="38"/>
        </w:numPr>
        <w:spacing w:line="276" w:lineRule="auto"/>
        <w:rPr>
          <w:rFonts w:asciiTheme="minorHAnsi" w:hAnsiTheme="minorHAnsi" w:cs="Times New Roman"/>
        </w:rPr>
      </w:pPr>
      <w:r>
        <w:rPr>
          <w:rFonts w:asciiTheme="minorHAnsi" w:hAnsiTheme="minorHAnsi" w:cs="Times New Roman"/>
        </w:rPr>
        <w:t>Screen p</w:t>
      </w:r>
      <w:r w:rsidR="00C67A2A">
        <w:rPr>
          <w:rFonts w:asciiTheme="minorHAnsi" w:hAnsiTheme="minorHAnsi" w:cs="Times New Roman"/>
        </w:rPr>
        <w:t>erson who experienced</w:t>
      </w:r>
      <w:r w:rsidR="00C67A2A" w:rsidRPr="008D6D03">
        <w:rPr>
          <w:rFonts w:asciiTheme="minorHAnsi" w:hAnsiTheme="minorHAnsi" w:cs="Times New Roman"/>
        </w:rPr>
        <w:t xml:space="preserve"> sexual assault. </w:t>
      </w:r>
    </w:p>
    <w:p w14:paraId="7DE190A2" w14:textId="6D1BB09A" w:rsidR="00F75A91" w:rsidRDefault="00F75A91" w:rsidP="001D5707">
      <w:pPr>
        <w:pStyle w:val="Default"/>
        <w:numPr>
          <w:ilvl w:val="0"/>
          <w:numId w:val="38"/>
        </w:numPr>
        <w:spacing w:line="276" w:lineRule="auto"/>
        <w:rPr>
          <w:rFonts w:asciiTheme="minorHAnsi" w:hAnsiTheme="minorHAnsi" w:cs="Times New Roman"/>
        </w:rPr>
      </w:pPr>
      <w:r>
        <w:rPr>
          <w:rFonts w:asciiTheme="minorHAnsi" w:hAnsiTheme="minorHAnsi" w:cs="Times New Roman"/>
        </w:rPr>
        <w:t>Screening for other STBBIs such as HIV, HBV, HCV, gonorrhea and syphilis should also be considered when testing for chlamydia.</w:t>
      </w:r>
    </w:p>
    <w:p w14:paraId="2E83F003" w14:textId="77777777" w:rsidR="00F75A91" w:rsidRDefault="00F75A91" w:rsidP="001D5707">
      <w:pPr>
        <w:pStyle w:val="Heading2"/>
      </w:pPr>
      <w:bookmarkStart w:id="38" w:name="_Toc212720535"/>
    </w:p>
    <w:p w14:paraId="0E536C13" w14:textId="2B712422" w:rsidR="00F75A91" w:rsidRPr="008D6D03" w:rsidRDefault="00F75A91" w:rsidP="006362D8">
      <w:pPr>
        <w:pStyle w:val="Heading1"/>
      </w:pPr>
      <w:bookmarkStart w:id="39" w:name="_Toc219273891"/>
      <w:r w:rsidRPr="008D6D03">
        <w:lastRenderedPageBreak/>
        <w:t>Re-Screening</w:t>
      </w:r>
      <w:bookmarkEnd w:id="38"/>
      <w:bookmarkEnd w:id="39"/>
      <w:r w:rsidRPr="008D6D03">
        <w:t xml:space="preserve"> </w:t>
      </w:r>
    </w:p>
    <w:p w14:paraId="3165DA36" w14:textId="77777777" w:rsidR="00F75A91" w:rsidRPr="008D6D03" w:rsidRDefault="00F75A91" w:rsidP="00F75A91">
      <w:pPr>
        <w:pStyle w:val="Default"/>
        <w:numPr>
          <w:ilvl w:val="0"/>
          <w:numId w:val="38"/>
        </w:numPr>
        <w:rPr>
          <w:rFonts w:asciiTheme="minorHAnsi" w:hAnsiTheme="minorHAnsi" w:cs="Times New Roman"/>
        </w:rPr>
      </w:pPr>
      <w:r w:rsidRPr="008D6D03">
        <w:rPr>
          <w:rFonts w:asciiTheme="minorHAnsi" w:hAnsiTheme="minorHAnsi" w:cs="Times New Roman"/>
        </w:rPr>
        <w:t xml:space="preserve">Re-screening of </w:t>
      </w:r>
      <w:r w:rsidRPr="008D6D03">
        <w:rPr>
          <w:rFonts w:asciiTheme="minorHAnsi" w:hAnsiTheme="minorHAnsi" w:cs="Times New Roman"/>
          <w:u w:val="single"/>
        </w:rPr>
        <w:t xml:space="preserve">all individuals </w:t>
      </w:r>
      <w:r w:rsidRPr="008D6D03">
        <w:rPr>
          <w:rFonts w:asciiTheme="minorHAnsi" w:hAnsiTheme="minorHAnsi" w:cs="Times New Roman"/>
        </w:rPr>
        <w:t xml:space="preserve">diagnosed with </w:t>
      </w:r>
      <w:r>
        <w:rPr>
          <w:rFonts w:asciiTheme="minorHAnsi" w:hAnsiTheme="minorHAnsi" w:cs="Times New Roman"/>
        </w:rPr>
        <w:t xml:space="preserve">chlamydia </w:t>
      </w:r>
      <w:r w:rsidRPr="008D6D03">
        <w:rPr>
          <w:rFonts w:asciiTheme="minorHAnsi" w:hAnsiTheme="minorHAnsi" w:cs="Times New Roman"/>
        </w:rPr>
        <w:t xml:space="preserve">is recommended 6 months post-treatment. </w:t>
      </w:r>
    </w:p>
    <w:p w14:paraId="54F2B39E" w14:textId="68A81E8A" w:rsidR="00F75A91" w:rsidRPr="00F75A91" w:rsidRDefault="00F75A91" w:rsidP="00F75A91">
      <w:pPr>
        <w:pStyle w:val="Default"/>
        <w:rPr>
          <w:rFonts w:asciiTheme="minorHAnsi" w:hAnsiTheme="minorHAnsi" w:cs="Times New Roman"/>
        </w:rPr>
      </w:pPr>
      <w:r>
        <w:br w:type="page"/>
      </w:r>
    </w:p>
    <w:p w14:paraId="04F43C69" w14:textId="77777777" w:rsidR="00C67A2A" w:rsidRPr="008D6D03" w:rsidRDefault="00C67A2A" w:rsidP="00C67A2A"/>
    <w:p w14:paraId="36CC9C7A" w14:textId="77777777" w:rsidR="000159DF" w:rsidRDefault="000159DF" w:rsidP="0083304F">
      <w:pPr>
        <w:pStyle w:val="Heading1"/>
        <w:spacing w:line="240" w:lineRule="auto"/>
      </w:pPr>
      <w:bookmarkStart w:id="40" w:name="_Toc219273892"/>
      <w:r w:rsidRPr="00541094">
        <w:t>References</w:t>
      </w:r>
      <w:bookmarkEnd w:id="40"/>
    </w:p>
    <w:p w14:paraId="0AA4DD5C" w14:textId="77777777" w:rsidR="0083304F" w:rsidRPr="0083304F" w:rsidRDefault="0083304F" w:rsidP="0083304F">
      <w:pPr>
        <w:spacing w:line="240" w:lineRule="auto"/>
      </w:pPr>
    </w:p>
    <w:p w14:paraId="399CF9DE" w14:textId="18DC0CD3" w:rsidR="004B71B1" w:rsidRDefault="004B71B1" w:rsidP="0083304F">
      <w:pPr>
        <w:spacing w:after="0" w:line="240" w:lineRule="auto"/>
      </w:pPr>
      <w:r>
        <w:t xml:space="preserve">CATIE (2023) Chlamydia Fact Sheet Found at: </w:t>
      </w:r>
      <w:hyperlink r:id="rId13" w:history="1">
        <w:r w:rsidRPr="004B71B1">
          <w:rPr>
            <w:rStyle w:val="Hyperlink"/>
          </w:rPr>
          <w:t>Chlamydia | CATIE - Canada's source for HIV and hepatitis C information</w:t>
        </w:r>
      </w:hyperlink>
    </w:p>
    <w:p w14:paraId="20395799" w14:textId="77777777" w:rsidR="0083304F" w:rsidRPr="004B71B1" w:rsidRDefault="0083304F" w:rsidP="0083304F">
      <w:pPr>
        <w:spacing w:after="0" w:line="240" w:lineRule="auto"/>
      </w:pPr>
    </w:p>
    <w:p w14:paraId="0BC47D77" w14:textId="77777777" w:rsidR="0083304F" w:rsidRPr="001D5707" w:rsidRDefault="0083304F" w:rsidP="0083304F">
      <w:pPr>
        <w:spacing w:after="0" w:line="240" w:lineRule="auto"/>
        <w:rPr>
          <w:rFonts w:cstheme="minorHAnsi"/>
        </w:rPr>
      </w:pPr>
      <w:r w:rsidRPr="001D5707">
        <w:rPr>
          <w:rFonts w:cstheme="minorHAnsi"/>
        </w:rPr>
        <w:t xml:space="preserve">National Advisory Committee on Sexually Transmitted and Blood-Borne Infections (NAC-STBBI). </w:t>
      </w:r>
      <w:hyperlink r:id="rId14" w:anchor="a6.2" w:history="1">
        <w:r w:rsidRPr="001D5707">
          <w:rPr>
            <w:rStyle w:val="Hyperlink"/>
            <w:rFonts w:cstheme="minorHAnsi"/>
          </w:rPr>
          <w:t>Recommendations on the use of prophylactic doxycycline for the prevention of bacterial STI (chlamydia, gonorrhea, syphilis) - Canada.ca</w:t>
        </w:r>
      </w:hyperlink>
      <w:r w:rsidRPr="001D5707">
        <w:rPr>
          <w:rFonts w:cstheme="minorHAnsi"/>
        </w:rPr>
        <w:t>. November 2025</w:t>
      </w:r>
    </w:p>
    <w:p w14:paraId="27FB4AD6" w14:textId="77777777" w:rsidR="0083304F" w:rsidRDefault="0083304F" w:rsidP="0083304F">
      <w:pPr>
        <w:spacing w:after="0" w:line="240" w:lineRule="auto"/>
        <w:rPr>
          <w:rFonts w:cstheme="minorHAnsi"/>
        </w:rPr>
      </w:pPr>
    </w:p>
    <w:p w14:paraId="1CB761F3" w14:textId="06473162" w:rsidR="004B71B1" w:rsidRDefault="004B71B1" w:rsidP="0083304F">
      <w:pPr>
        <w:spacing w:after="0" w:line="240" w:lineRule="auto"/>
        <w:rPr>
          <w:rFonts w:cs="Times New Roman"/>
          <w:szCs w:val="24"/>
        </w:rPr>
      </w:pPr>
      <w:r w:rsidRPr="001D5707">
        <w:rPr>
          <w:rFonts w:cs="Times New Roman"/>
          <w:bCs/>
          <w:szCs w:val="24"/>
        </w:rPr>
        <w:t>Province of PEI</w:t>
      </w:r>
      <w:r w:rsidR="0083304F">
        <w:rPr>
          <w:rFonts w:cs="Times New Roman"/>
          <w:bCs/>
          <w:szCs w:val="24"/>
        </w:rPr>
        <w:t xml:space="preserve"> (2023). </w:t>
      </w:r>
      <w:hyperlink r:id="rId15" w:history="1">
        <w:r w:rsidRPr="001D5707">
          <w:rPr>
            <w:rStyle w:val="Hyperlink"/>
            <w:rFonts w:cs="Times New Roman"/>
            <w:szCs w:val="24"/>
          </w:rPr>
          <w:t xml:space="preserve"> Public Health Act R.S.P.</w:t>
        </w:r>
        <w:proofErr w:type="gramStart"/>
        <w:r w:rsidRPr="001D5707">
          <w:rPr>
            <w:rStyle w:val="Hyperlink"/>
            <w:rFonts w:cs="Times New Roman"/>
            <w:szCs w:val="24"/>
          </w:rPr>
          <w:t>E.I</w:t>
        </w:r>
        <w:proofErr w:type="gramEnd"/>
      </w:hyperlink>
      <w:r w:rsidRPr="001D5707">
        <w:rPr>
          <w:rFonts w:cs="Times New Roman"/>
          <w:szCs w:val="24"/>
        </w:rPr>
        <w:t xml:space="preserve"> [</w:t>
      </w:r>
    </w:p>
    <w:p w14:paraId="1526816F" w14:textId="77777777" w:rsidR="004B71B1" w:rsidRDefault="004B71B1" w:rsidP="0083304F">
      <w:pPr>
        <w:spacing w:after="0" w:line="240" w:lineRule="auto"/>
        <w:rPr>
          <w:rFonts w:cs="Times New Roman"/>
          <w:szCs w:val="24"/>
        </w:rPr>
      </w:pPr>
    </w:p>
    <w:p w14:paraId="51F6B3DC" w14:textId="1B9061D1" w:rsidR="004B71B1" w:rsidRDefault="00D03922" w:rsidP="0083304F">
      <w:pPr>
        <w:pStyle w:val="Bibliography"/>
        <w:spacing w:after="0" w:line="240" w:lineRule="auto"/>
        <w:rPr>
          <w:rFonts w:cs="Times New Roman"/>
          <w:noProof/>
          <w:sz w:val="24"/>
          <w:szCs w:val="24"/>
        </w:rPr>
      </w:pPr>
      <w:r w:rsidRPr="001D5707">
        <w:rPr>
          <w:rFonts w:cs="Times New Roman"/>
          <w:noProof/>
          <w:sz w:val="24"/>
          <w:szCs w:val="24"/>
        </w:rPr>
        <w:t>Public Health Agency of Canada</w:t>
      </w:r>
      <w:r w:rsidR="0083304F">
        <w:rPr>
          <w:rFonts w:cs="Times New Roman"/>
          <w:noProof/>
          <w:sz w:val="24"/>
          <w:szCs w:val="24"/>
        </w:rPr>
        <w:t xml:space="preserve"> (2008).</w:t>
      </w:r>
      <w:r w:rsidR="00A067BD" w:rsidRPr="00615BFE">
        <w:rPr>
          <w:rFonts w:cs="Times New Roman"/>
          <w:b/>
          <w:bCs/>
          <w:noProof/>
          <w:sz w:val="24"/>
          <w:szCs w:val="24"/>
        </w:rPr>
        <w:t xml:space="preserve"> </w:t>
      </w:r>
      <w:r w:rsidR="0083304F">
        <w:t>National Case Definition: Chlamydia (</w:t>
      </w:r>
      <w:r w:rsidR="0083304F" w:rsidRPr="0083304F">
        <w:rPr>
          <w:i/>
          <w:iCs/>
        </w:rPr>
        <w:t>Chlamydia trachomatis</w:t>
      </w:r>
      <w:r w:rsidR="0083304F">
        <w:t xml:space="preserve"> infection</w:t>
      </w:r>
      <w:r w:rsidR="0083304F" w:rsidRPr="0083304F">
        <w:rPr>
          <w:rFonts w:cs="Times New Roman"/>
          <w:noProof/>
          <w:sz w:val="24"/>
          <w:szCs w:val="24"/>
        </w:rPr>
        <w:t xml:space="preserve">) Found at: </w:t>
      </w:r>
      <w:hyperlink r:id="rId16" w:history="1">
        <w:r w:rsidR="0083304F" w:rsidRPr="0083304F">
          <w:rPr>
            <w:rStyle w:val="Hyperlink"/>
            <w:rFonts w:cs="Times New Roman"/>
            <w:noProof/>
            <w:sz w:val="24"/>
            <w:szCs w:val="24"/>
          </w:rPr>
          <w:t>National case definition: Chlamydia (Chlamydia trachomatis infection) - Canada.ca</w:t>
        </w:r>
      </w:hyperlink>
      <w:r w:rsidR="00A067BD" w:rsidRPr="00615BFE">
        <w:rPr>
          <w:rFonts w:cs="Times New Roman"/>
          <w:noProof/>
          <w:sz w:val="24"/>
          <w:szCs w:val="24"/>
        </w:rPr>
        <w:t xml:space="preserve"> </w:t>
      </w:r>
    </w:p>
    <w:p w14:paraId="5F11E369" w14:textId="77777777" w:rsidR="004B71B1" w:rsidRPr="004B71B1" w:rsidRDefault="004B71B1" w:rsidP="0083304F">
      <w:pPr>
        <w:spacing w:after="0" w:line="240" w:lineRule="auto"/>
      </w:pPr>
    </w:p>
    <w:p w14:paraId="411F0D4E" w14:textId="4C4E1DD8" w:rsidR="004B71B1" w:rsidRPr="004B71B1" w:rsidRDefault="004B71B1" w:rsidP="0083304F">
      <w:pPr>
        <w:spacing w:after="0" w:line="240" w:lineRule="auto"/>
        <w:rPr>
          <w:rFonts w:cstheme="minorHAnsi"/>
          <w:szCs w:val="24"/>
        </w:rPr>
      </w:pPr>
      <w:r w:rsidRPr="0006502E">
        <w:rPr>
          <w:rFonts w:cstheme="minorHAnsi"/>
          <w:szCs w:val="24"/>
        </w:rPr>
        <w:t xml:space="preserve">Public Health Agency of Canada (2019). </w:t>
      </w:r>
      <w:r w:rsidRPr="0013605E">
        <w:rPr>
          <w:rFonts w:cstheme="minorHAnsi"/>
          <w:iCs/>
          <w:szCs w:val="24"/>
        </w:rPr>
        <w:t>Report on Sexually Transmitted Infections in Canada</w:t>
      </w:r>
      <w:r w:rsidRPr="0006502E">
        <w:rPr>
          <w:rFonts w:cstheme="minorHAnsi"/>
          <w:i/>
          <w:szCs w:val="24"/>
        </w:rPr>
        <w:t xml:space="preserve">. </w:t>
      </w:r>
      <w:r w:rsidRPr="0006502E">
        <w:rPr>
          <w:rFonts w:cstheme="minorHAnsi"/>
          <w:szCs w:val="24"/>
        </w:rPr>
        <w:t xml:space="preserve">Found at: </w:t>
      </w:r>
      <w:hyperlink r:id="rId17" w:history="1">
        <w:r w:rsidRPr="0006502E">
          <w:rPr>
            <w:rStyle w:val="Hyperlink"/>
            <w:rFonts w:cstheme="minorHAnsi"/>
            <w:szCs w:val="24"/>
          </w:rPr>
          <w:t>Reports and Publications on Sexually Transmitted Infections in Canada - Canada.ca</w:t>
        </w:r>
      </w:hyperlink>
    </w:p>
    <w:p w14:paraId="53B6E21B" w14:textId="77777777" w:rsidR="004B71B1" w:rsidRPr="00615BFE" w:rsidRDefault="004B71B1" w:rsidP="0083304F">
      <w:pPr>
        <w:spacing w:after="0" w:line="240" w:lineRule="auto"/>
      </w:pPr>
    </w:p>
    <w:p w14:paraId="6A18870D" w14:textId="3FE64708" w:rsidR="005114EB" w:rsidRPr="001D5707" w:rsidRDefault="005114EB" w:rsidP="0083304F">
      <w:pPr>
        <w:spacing w:after="0" w:line="240" w:lineRule="auto"/>
        <w:rPr>
          <w:rFonts w:cs="Times New Roman"/>
        </w:rPr>
      </w:pPr>
      <w:r w:rsidRPr="001D5707">
        <w:rPr>
          <w:rFonts w:cs="Times New Roman"/>
          <w:bCs/>
        </w:rPr>
        <w:t>Public Health Agency of Canada</w:t>
      </w:r>
      <w:r w:rsidR="0083304F">
        <w:rPr>
          <w:rFonts w:cs="Times New Roman"/>
          <w:bCs/>
        </w:rPr>
        <w:t xml:space="preserve"> (2025)</w:t>
      </w:r>
      <w:r w:rsidRPr="001D5707">
        <w:rPr>
          <w:rFonts w:cs="Times New Roman"/>
          <w:bCs/>
        </w:rPr>
        <w:t>.</w:t>
      </w:r>
      <w:hyperlink r:id="rId18" w:history="1">
        <w:r w:rsidRPr="001D5707">
          <w:rPr>
            <w:rStyle w:val="Hyperlink"/>
            <w:rFonts w:cs="Times New Roman"/>
            <w:bCs/>
          </w:rPr>
          <w:t xml:space="preserve"> Canadian Guidelines on Sexually Transmitted Infections</w:t>
        </w:r>
      </w:hyperlink>
      <w:r w:rsidRPr="001D5707">
        <w:rPr>
          <w:rFonts w:cs="Times New Roman"/>
        </w:rPr>
        <w:t>.</w:t>
      </w:r>
    </w:p>
    <w:p w14:paraId="00EC1627" w14:textId="77777777" w:rsidR="0083304F" w:rsidRDefault="0083304F" w:rsidP="0083304F">
      <w:pPr>
        <w:spacing w:after="0" w:line="240" w:lineRule="auto"/>
        <w:rPr>
          <w:rFonts w:cstheme="minorHAnsi"/>
        </w:rPr>
      </w:pPr>
    </w:p>
    <w:p w14:paraId="3B06FEA3" w14:textId="475AC08A" w:rsidR="0083304F" w:rsidRDefault="0083304F" w:rsidP="0083304F">
      <w:pPr>
        <w:spacing w:after="0" w:line="240" w:lineRule="auto"/>
      </w:pPr>
      <w:r w:rsidRPr="001D5707">
        <w:rPr>
          <w:rFonts w:cs="Times New Roman"/>
          <w:bCs/>
        </w:rPr>
        <w:t>Public Health Agency of Canada</w:t>
      </w:r>
      <w:r>
        <w:rPr>
          <w:rFonts w:cs="Times New Roman"/>
          <w:bCs/>
        </w:rPr>
        <w:t xml:space="preserve"> (2025)</w:t>
      </w:r>
      <w:r w:rsidRPr="001D5707">
        <w:rPr>
          <w:rFonts w:cs="Times New Roman"/>
          <w:bCs/>
        </w:rPr>
        <w:t xml:space="preserve">. </w:t>
      </w:r>
      <w:hyperlink r:id="rId19" w:history="1">
        <w:r w:rsidRPr="001D5707">
          <w:rPr>
            <w:rStyle w:val="Hyperlink"/>
            <w:rFonts w:cs="Times New Roman"/>
          </w:rPr>
          <w:t>Reported cases from 1924 to 2023 in Canada - Notifiable diseases on-line</w:t>
        </w:r>
      </w:hyperlink>
      <w:r w:rsidRPr="001D5707">
        <w:rPr>
          <w:rFonts w:cs="Times New Roman"/>
        </w:rPr>
        <w:t xml:space="preserve"> </w:t>
      </w:r>
    </w:p>
    <w:p w14:paraId="517E8EEE" w14:textId="77777777" w:rsidR="004B71B1" w:rsidRPr="004B71B1" w:rsidRDefault="004B71B1" w:rsidP="0083304F">
      <w:pPr>
        <w:spacing w:after="0" w:line="240" w:lineRule="auto"/>
        <w:rPr>
          <w:rFonts w:cstheme="minorHAnsi"/>
        </w:rPr>
      </w:pPr>
    </w:p>
    <w:p w14:paraId="0BE2D4E4" w14:textId="7C1A80A6" w:rsidR="004B71B1" w:rsidRPr="0083304F" w:rsidRDefault="00C8365B" w:rsidP="0083304F">
      <w:pPr>
        <w:spacing w:after="0" w:line="240" w:lineRule="auto"/>
      </w:pPr>
      <w:r w:rsidRPr="001D5707">
        <w:rPr>
          <w:rFonts w:cstheme="minorHAnsi"/>
        </w:rPr>
        <w:t>World Health Organization</w:t>
      </w:r>
      <w:r w:rsidR="004B71B1">
        <w:rPr>
          <w:rFonts w:cstheme="minorHAnsi"/>
        </w:rPr>
        <w:t xml:space="preserve"> (2025) Chlamydia. Found at:</w:t>
      </w:r>
      <w:r w:rsidRPr="001D5707">
        <w:rPr>
          <w:rFonts w:cstheme="minorHAnsi"/>
        </w:rPr>
        <w:t xml:space="preserve"> </w:t>
      </w:r>
      <w:hyperlink r:id="rId20" w:history="1">
        <w:r w:rsidR="001D5707" w:rsidRPr="001D5707">
          <w:rPr>
            <w:rStyle w:val="Hyperlink"/>
          </w:rPr>
          <w:t>Chlamydia</w:t>
        </w:r>
      </w:hyperlink>
      <w:r w:rsidR="004B71B1">
        <w:t xml:space="preserve"> </w:t>
      </w:r>
    </w:p>
    <w:p w14:paraId="67BB1B7D" w14:textId="77777777" w:rsidR="004B71B1" w:rsidRPr="001D5707" w:rsidRDefault="004B71B1" w:rsidP="0083304F">
      <w:pPr>
        <w:spacing w:after="0" w:line="240" w:lineRule="auto"/>
        <w:rPr>
          <w:rFonts w:cs="Times New Roman"/>
        </w:rPr>
      </w:pPr>
    </w:p>
    <w:p w14:paraId="5D6BE11A" w14:textId="6B78AA40" w:rsidR="00615BFE" w:rsidRDefault="001D5707" w:rsidP="0083304F">
      <w:pPr>
        <w:spacing w:after="0" w:line="240" w:lineRule="auto"/>
        <w:rPr>
          <w:rFonts w:cs="Times New Roman"/>
        </w:rPr>
      </w:pPr>
      <w:r w:rsidRPr="001D5707">
        <w:rPr>
          <w:rFonts w:cs="Times New Roman"/>
          <w:bCs/>
        </w:rPr>
        <w:t xml:space="preserve">PEI </w:t>
      </w:r>
      <w:r w:rsidR="00615BFE" w:rsidRPr="001D5707">
        <w:rPr>
          <w:rFonts w:cs="Times New Roman"/>
          <w:bCs/>
        </w:rPr>
        <w:t>Chief Public Health Office</w:t>
      </w:r>
      <w:r w:rsidR="0083304F">
        <w:rPr>
          <w:rFonts w:cs="Times New Roman"/>
          <w:bCs/>
        </w:rPr>
        <w:t xml:space="preserve"> (2025)</w:t>
      </w:r>
      <w:r w:rsidR="00615BFE" w:rsidRPr="001D5707">
        <w:rPr>
          <w:rFonts w:cs="Times New Roman"/>
          <w:bCs/>
        </w:rPr>
        <w:t>.</w:t>
      </w:r>
      <w:hyperlink r:id="rId21" w:history="1">
        <w:r w:rsidR="00615BFE" w:rsidRPr="001D5707">
          <w:rPr>
            <w:rStyle w:val="Hyperlink"/>
            <w:rFonts w:cs="Times New Roman"/>
          </w:rPr>
          <w:t xml:space="preserve"> </w:t>
        </w:r>
        <w:r w:rsidR="00615BFE" w:rsidRPr="001D5707">
          <w:rPr>
            <w:rStyle w:val="Hyperlink"/>
            <w:rFonts w:cs="Times New Roman"/>
            <w:i/>
          </w:rPr>
          <w:t>Prince Edward Island Adult Immunization Detailed Schedule</w:t>
        </w:r>
        <w:r w:rsidR="00615BFE" w:rsidRPr="001D5707">
          <w:rPr>
            <w:rStyle w:val="Hyperlink"/>
            <w:rFonts w:cs="Times New Roman"/>
          </w:rPr>
          <w:t>.</w:t>
        </w:r>
      </w:hyperlink>
      <w:r w:rsidR="00615BFE" w:rsidRPr="001D5707">
        <w:rPr>
          <w:rFonts w:cs="Times New Roman"/>
        </w:rPr>
        <w:t xml:space="preserve"> </w:t>
      </w:r>
    </w:p>
    <w:p w14:paraId="62BAD7EF" w14:textId="77777777" w:rsidR="004B71B1" w:rsidRPr="001D5707" w:rsidRDefault="004B71B1" w:rsidP="0083304F">
      <w:pPr>
        <w:spacing w:after="0" w:line="240" w:lineRule="auto"/>
        <w:rPr>
          <w:rFonts w:ascii="Times New Roman" w:hAnsi="Times New Roman" w:cs="Times New Roman"/>
        </w:rPr>
      </w:pPr>
    </w:p>
    <w:p w14:paraId="42A7DCEF" w14:textId="77777777" w:rsidR="0083304F" w:rsidRDefault="0083304F" w:rsidP="0083304F">
      <w:pPr>
        <w:spacing w:after="0" w:line="240" w:lineRule="auto"/>
        <w:rPr>
          <w:rFonts w:eastAsiaTheme="majorEastAsia" w:cstheme="minorHAnsi"/>
          <w:b/>
          <w:bCs/>
          <w:sz w:val="32"/>
          <w:szCs w:val="32"/>
        </w:rPr>
      </w:pPr>
      <w:bookmarkStart w:id="41" w:name="_Appendix"/>
      <w:bookmarkEnd w:id="41"/>
      <w:r>
        <w:br w:type="page"/>
      </w:r>
    </w:p>
    <w:p w14:paraId="09B66B3B" w14:textId="6E72BC1F" w:rsidR="00DE2DA8" w:rsidRDefault="00CB4AF6" w:rsidP="003127C3">
      <w:pPr>
        <w:pStyle w:val="Heading1"/>
      </w:pPr>
      <w:bookmarkStart w:id="42" w:name="_Toc219273893"/>
      <w:r w:rsidRPr="003127C3">
        <w:lastRenderedPageBreak/>
        <w:t>Appendix</w:t>
      </w:r>
      <w:r w:rsidR="00BD5E41">
        <w:t xml:space="preserve"> A</w:t>
      </w:r>
      <w:bookmarkEnd w:id="42"/>
    </w:p>
    <w:p w14:paraId="2D87A6B2" w14:textId="77777777" w:rsidR="00B90030" w:rsidRDefault="00BD5E41" w:rsidP="00ED740A">
      <w:pPr>
        <w:pStyle w:val="Heading2"/>
        <w:rPr>
          <w:lang w:val="en-US"/>
        </w:rPr>
      </w:pPr>
      <w:bookmarkStart w:id="43" w:name="_Toc219273894"/>
      <w:r w:rsidRPr="00C93B8E">
        <w:rPr>
          <w:lang w:val="en-US"/>
        </w:rPr>
        <w:t>Collection and Order for Chlamydia Trachomatis, Neisseria Gonorrhea &amp; Trichomonas</w:t>
      </w:r>
    </w:p>
    <w:p w14:paraId="2ACCCEE9" w14:textId="4DDCDFEF" w:rsidR="00BD5E41" w:rsidRPr="00BD5E41" w:rsidRDefault="00BD5E41" w:rsidP="00ED740A">
      <w:pPr>
        <w:pStyle w:val="Heading2"/>
      </w:pPr>
      <w:r w:rsidRPr="00C93B8E">
        <w:rPr>
          <w:lang w:val="en-US"/>
        </w:rPr>
        <w:t>Vaginalis</w:t>
      </w:r>
      <w:bookmarkEnd w:id="43"/>
    </w:p>
    <w:p w14:paraId="363C6EA1" w14:textId="77777777" w:rsidR="00660D91" w:rsidRPr="00660D91" w:rsidRDefault="00660D91" w:rsidP="00660D91">
      <w:pPr>
        <w:spacing w:after="0"/>
        <w:jc w:val="center"/>
        <w:rPr>
          <w:rFonts w:ascii="Times New Roman" w:hAnsi="Times New Roman" w:cs="Times New Roman"/>
          <w:b/>
          <w:sz w:val="32"/>
        </w:rPr>
      </w:pPr>
    </w:p>
    <w:p w14:paraId="3584B60A" w14:textId="38900197" w:rsidR="00BD5E41" w:rsidRDefault="00BD5E41" w:rsidP="00660D91">
      <w:pPr>
        <w:spacing w:after="0"/>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14:paraId="0799D201" w14:textId="77777777" w:rsidR="00BD5E41" w:rsidRDefault="00BD5E41">
      <w:pPr>
        <w:rPr>
          <w:rFonts w:ascii="Times New Roman" w:hAnsi="Times New Roman" w:cs="Times New Roman"/>
        </w:rPr>
      </w:pPr>
      <w:r>
        <w:rPr>
          <w:rFonts w:ascii="Times New Roman" w:hAnsi="Times New Roman" w:cs="Times New Roman"/>
        </w:rPr>
        <w:br w:type="page"/>
      </w:r>
    </w:p>
    <w:p w14:paraId="2FFDD98F" w14:textId="331A232A" w:rsidR="00BD5E41" w:rsidRDefault="00BD5E41">
      <w:pPr>
        <w:rPr>
          <w:rFonts w:ascii="Times New Roman" w:hAnsi="Times New Roman" w:cs="Times New Roman"/>
        </w:rPr>
      </w:pPr>
      <w:r>
        <w:rPr>
          <w:rFonts w:ascii="Times New Roman" w:hAnsi="Times New Roman" w:cs="Times New Roman"/>
        </w:rPr>
        <w:lastRenderedPageBreak/>
        <w:br w:type="page"/>
      </w:r>
    </w:p>
    <w:p w14:paraId="0CC3E1F2" w14:textId="51BFB2AA" w:rsidR="00BD5E41" w:rsidRDefault="00BD5E41">
      <w:pPr>
        <w:rPr>
          <w:rFonts w:ascii="Times New Roman" w:hAnsi="Times New Roman" w:cs="Times New Roman"/>
        </w:rPr>
      </w:pPr>
      <w:r>
        <w:rPr>
          <w:rFonts w:ascii="Times New Roman" w:hAnsi="Times New Roman" w:cs="Times New Roman"/>
        </w:rPr>
        <w:lastRenderedPageBreak/>
        <w:br w:type="page"/>
      </w:r>
    </w:p>
    <w:p w14:paraId="423614FA" w14:textId="2FCF7FE8" w:rsidR="00BD5E41" w:rsidRDefault="00BD5E41">
      <w:pPr>
        <w:rPr>
          <w:rFonts w:ascii="Times New Roman" w:hAnsi="Times New Roman" w:cs="Times New Roman"/>
        </w:rPr>
      </w:pPr>
      <w:r>
        <w:rPr>
          <w:rFonts w:ascii="Times New Roman" w:hAnsi="Times New Roman" w:cs="Times New Roman"/>
        </w:rPr>
        <w:lastRenderedPageBreak/>
        <w:br w:type="page"/>
      </w:r>
    </w:p>
    <w:p w14:paraId="466AACE4" w14:textId="057776DB" w:rsidR="00BD5E41" w:rsidRDefault="00BD5E41">
      <w:pPr>
        <w:rPr>
          <w:rFonts w:ascii="Times New Roman" w:hAnsi="Times New Roman" w:cs="Times New Roman"/>
        </w:rPr>
      </w:pPr>
      <w:r>
        <w:rPr>
          <w:rFonts w:ascii="Times New Roman" w:hAnsi="Times New Roman" w:cs="Times New Roman"/>
        </w:rPr>
        <w:lastRenderedPageBreak/>
        <w:br w:type="page"/>
      </w:r>
    </w:p>
    <w:p w14:paraId="531762BC" w14:textId="2691A8A5" w:rsidR="00CB4AF6" w:rsidRDefault="00BD5E41" w:rsidP="00BD5E41">
      <w:pPr>
        <w:pStyle w:val="Heading1"/>
      </w:pPr>
      <w:bookmarkStart w:id="44" w:name="_Toc219273895"/>
      <w:r>
        <w:lastRenderedPageBreak/>
        <w:t>Appendix B</w:t>
      </w:r>
      <w:bookmarkEnd w:id="44"/>
    </w:p>
    <w:p w14:paraId="0A60EC28" w14:textId="16BEB26B" w:rsidR="00BD5E41" w:rsidRDefault="00BD5E41" w:rsidP="00ED740A">
      <w:pPr>
        <w:pStyle w:val="Heading2"/>
      </w:pPr>
      <w:bookmarkStart w:id="45" w:name="_Toc219273896"/>
      <w:r>
        <w:t>Chlamydia Fact Sheet</w:t>
      </w:r>
      <w:bookmarkEnd w:id="45"/>
    </w:p>
    <w:p w14:paraId="2CCF618E" w14:textId="77777777" w:rsidR="00BD5E41" w:rsidRDefault="00BD5E41">
      <w:pPr>
        <w:rPr>
          <w:b/>
        </w:rPr>
      </w:pPr>
      <w:r>
        <w:br w:type="page"/>
      </w:r>
    </w:p>
    <w:p w14:paraId="769394C1" w14:textId="31ED00E1" w:rsidR="0045529B" w:rsidRDefault="0045529B">
      <w:pPr>
        <w:rPr>
          <w:b/>
        </w:rPr>
      </w:pPr>
      <w:r>
        <w:lastRenderedPageBreak/>
        <w:br w:type="page"/>
      </w:r>
    </w:p>
    <w:p w14:paraId="6C479792" w14:textId="3E5FEC69" w:rsidR="00BD5E41" w:rsidRDefault="0045529B" w:rsidP="00FD34F2">
      <w:pPr>
        <w:pStyle w:val="Heading1"/>
      </w:pPr>
      <w:bookmarkStart w:id="46" w:name="_Appendix_C"/>
      <w:bookmarkStart w:id="47" w:name="_Toc219273897"/>
      <w:bookmarkEnd w:id="46"/>
      <w:r>
        <w:lastRenderedPageBreak/>
        <w:t>Appendix C</w:t>
      </w:r>
      <w:bookmarkEnd w:id="47"/>
    </w:p>
    <w:p w14:paraId="61B9018D" w14:textId="77777777" w:rsidR="0045529B" w:rsidRPr="00047EDF" w:rsidRDefault="0045529B" w:rsidP="00FD34F2">
      <w:pPr>
        <w:pStyle w:val="Heading1"/>
        <w:rPr>
          <w:rFonts w:eastAsia="Calibri"/>
          <w:strike/>
        </w:rPr>
      </w:pPr>
      <w:bookmarkStart w:id="48" w:name="_Toc219273898"/>
      <w:r w:rsidRPr="4240FFBD">
        <w:rPr>
          <w:rFonts w:eastAsia="Calibri"/>
        </w:rPr>
        <w:t>Recommendations on the use of prophylactic doxycycline for the prevention of bacterial STI (chlamydia, gonorrhea, syphilis): a living guideline</w:t>
      </w:r>
      <w:bookmarkEnd w:id="48"/>
    </w:p>
    <w:p w14:paraId="117D6434" w14:textId="77777777" w:rsidR="0045529B" w:rsidRPr="00047EDF" w:rsidRDefault="0045529B" w:rsidP="0045529B">
      <w:pPr>
        <w:spacing w:after="0"/>
        <w:rPr>
          <w:rFonts w:ascii="Calibri" w:eastAsia="Calibri" w:hAnsi="Calibri" w:cs="Calibri"/>
          <w:color w:val="000000" w:themeColor="text1"/>
          <w:sz w:val="22"/>
        </w:rPr>
      </w:pPr>
    </w:p>
    <w:p w14:paraId="1279DA89" w14:textId="77777777" w:rsidR="0045529B" w:rsidRPr="00FD34F2" w:rsidRDefault="0045529B" w:rsidP="00FD34F2">
      <w:pPr>
        <w:rPr>
          <w:b/>
          <w:bCs/>
        </w:rPr>
      </w:pPr>
      <w:r w:rsidRPr="00FD34F2">
        <w:rPr>
          <w:b/>
          <w:bCs/>
        </w:rPr>
        <w:t>An Advisory Committee Statement (ACS)</w:t>
      </w:r>
    </w:p>
    <w:p w14:paraId="67C183B9" w14:textId="77777777" w:rsidR="0045529B" w:rsidRPr="00156E75" w:rsidRDefault="0045529B" w:rsidP="00FD34F2">
      <w:r w:rsidRPr="00156E75">
        <w:t>National Advisory Committee on Sexually Transmitted and Blood-Borne Infections (NAC-STBBI)</w:t>
      </w:r>
    </w:p>
    <w:p w14:paraId="05E734C4" w14:textId="77777777" w:rsidR="0045529B" w:rsidRPr="00156E75" w:rsidRDefault="0045529B" w:rsidP="00FD34F2">
      <w:r w:rsidRPr="00156E75">
        <w:t>Recommendations on the use of prophylactic doxycycline for the prevention of bacterial STI (chlamydia, gonorrhea, syphilis)</w:t>
      </w:r>
    </w:p>
    <w:p w14:paraId="11DFED8A" w14:textId="21E54D11" w:rsidR="0045529B" w:rsidRPr="00156E75" w:rsidRDefault="0045529B" w:rsidP="00FD34F2">
      <w:r w:rsidRPr="00156E75">
        <w:t>Anticipated date of publication: November 28</w:t>
      </w:r>
      <w:r w:rsidR="00B90030" w:rsidRPr="00156E75">
        <w:t>, 2025</w:t>
      </w:r>
    </w:p>
    <w:p w14:paraId="56A892A9" w14:textId="77777777" w:rsidR="0045529B" w:rsidRPr="00FD34F2" w:rsidRDefault="0045529B" w:rsidP="00FD34F2">
      <w:pPr>
        <w:rPr>
          <w:b/>
          <w:bCs/>
        </w:rPr>
      </w:pPr>
      <w:bookmarkStart w:id="49" w:name="_Toc218514861"/>
      <w:r w:rsidRPr="00FD34F2">
        <w:rPr>
          <w:b/>
          <w:bCs/>
        </w:rPr>
        <w:t>Preamble</w:t>
      </w:r>
      <w:bookmarkEnd w:id="49"/>
    </w:p>
    <w:p w14:paraId="0F50C444" w14:textId="5712CF3A" w:rsidR="0045529B" w:rsidRPr="00FD34F2" w:rsidRDefault="0045529B" w:rsidP="00FD34F2">
      <w:r w:rsidRPr="00693E80">
        <w:t>The National Advisory Committee on Sexually Transmitted and Blood-Borne Infections (NAC-STBBI) is an External Advisory Body that provides the Public Health Agency of Canada (PHAC) with ongoing scientific and public health advice and recommendations for the development of sexually transmitted and blood-borne infections (STBBI) guidance, in support of its mandate to prevent and control infectious diseases in Canada.</w:t>
      </w:r>
    </w:p>
    <w:p w14:paraId="3A633981" w14:textId="07A4CD0C" w:rsidR="0045529B" w:rsidRPr="00FD34F2" w:rsidRDefault="0045529B" w:rsidP="00FD34F2">
      <w:r w:rsidRPr="00693E80">
        <w:t>PHAC acknowledges that the advice and recommendations in this statement are based upon the best available scientific knowledge/evidence at the time of writing and is disseminating this document for information purposes to primary care providers and public health professionals. The NAC-STBBI Statement may also assist policy makers or serve as the basis for adaptation by other guideline developers. The NAC-STBBI members and liaison members conduct themselves within the context of PHAC’s Policy on Conflict of Interest, including yearly declaration of interests and affiliations.</w:t>
      </w:r>
    </w:p>
    <w:p w14:paraId="0BA1EC66" w14:textId="77777777" w:rsidR="0045529B" w:rsidRPr="00047EDF" w:rsidRDefault="0045529B" w:rsidP="0045529B">
      <w:pPr>
        <w:spacing w:after="0"/>
        <w:rPr>
          <w:rFonts w:ascii="Calibri" w:eastAsia="Calibri" w:hAnsi="Calibri" w:cs="Calibri"/>
          <w:color w:val="000000" w:themeColor="text1"/>
        </w:rPr>
      </w:pPr>
      <w:r w:rsidRPr="4240FFBD">
        <w:rPr>
          <w:rFonts w:ascii="Calibri" w:eastAsia="Calibri" w:hAnsi="Calibri" w:cs="Calibri"/>
          <w:color w:val="000000" w:themeColor="text1"/>
        </w:rPr>
        <w:t>The recommendations in this statement do not supersede any provincial/territorial legislative, regulatory, policy and practice requirements or professional guidelines that govern the practice of health professionals in their respective jurisdictions, whose recommendations may differ due to local epidemiology or context. The recommendations in this statement may not reflect all the situations arising in professional practice and are not intended as a substitute for clinical judgment in consideration of individual circumstances and available resources.</w:t>
      </w:r>
    </w:p>
    <w:p w14:paraId="5DF6B30F" w14:textId="77777777" w:rsidR="0045529B" w:rsidRPr="00CD233C" w:rsidRDefault="0045529B" w:rsidP="0045529B">
      <w:pPr>
        <w:spacing w:after="0"/>
        <w:rPr>
          <w:rFonts w:ascii="Calibri" w:eastAsia="Calibri" w:hAnsi="Calibri" w:cs="Calibri"/>
          <w:color w:val="000000" w:themeColor="text1"/>
        </w:rPr>
      </w:pPr>
    </w:p>
    <w:p w14:paraId="3EF9F060" w14:textId="77777777" w:rsidR="00B90030" w:rsidRDefault="00B90030" w:rsidP="00FD34F2">
      <w:pPr>
        <w:rPr>
          <w:b/>
          <w:bCs/>
        </w:rPr>
      </w:pPr>
      <w:bookmarkStart w:id="50" w:name="_Toc218514862"/>
    </w:p>
    <w:p w14:paraId="04BC18AD" w14:textId="77777777" w:rsidR="00B90030" w:rsidRDefault="00B90030" w:rsidP="00FD34F2">
      <w:pPr>
        <w:rPr>
          <w:b/>
          <w:bCs/>
        </w:rPr>
      </w:pPr>
    </w:p>
    <w:p w14:paraId="5C403484" w14:textId="15875B09" w:rsidR="0045529B" w:rsidRPr="00FD34F2" w:rsidRDefault="0045529B" w:rsidP="00FD34F2">
      <w:pPr>
        <w:rPr>
          <w:b/>
          <w:bCs/>
        </w:rPr>
      </w:pPr>
      <w:r w:rsidRPr="00FD34F2">
        <w:rPr>
          <w:b/>
          <w:bCs/>
        </w:rPr>
        <w:lastRenderedPageBreak/>
        <w:t>Executive summary</w:t>
      </w:r>
      <w:bookmarkEnd w:id="50"/>
    </w:p>
    <w:p w14:paraId="262BA5A3" w14:textId="77777777" w:rsidR="0045529B" w:rsidRPr="00FD34F2" w:rsidRDefault="0045529B" w:rsidP="00FD34F2">
      <w:pPr>
        <w:rPr>
          <w:b/>
          <w:bCs/>
        </w:rPr>
      </w:pPr>
      <w:bookmarkStart w:id="51" w:name="_Toc218514863"/>
      <w:r w:rsidRPr="00FD34F2">
        <w:rPr>
          <w:b/>
          <w:bCs/>
        </w:rPr>
        <w:t>Background</w:t>
      </w:r>
      <w:bookmarkEnd w:id="51"/>
    </w:p>
    <w:p w14:paraId="737E3774" w14:textId="77777777" w:rsidR="0045529B" w:rsidRDefault="0045529B" w:rsidP="0045529B">
      <w:pPr>
        <w:spacing w:after="0"/>
        <w:rPr>
          <w:rFonts w:ascii="Calibri" w:eastAsia="Calibri" w:hAnsi="Calibri" w:cs="Calibri"/>
          <w:color w:val="000000" w:themeColor="text1"/>
        </w:rPr>
      </w:pPr>
      <w:r w:rsidRPr="432548C9">
        <w:rPr>
          <w:rFonts w:ascii="Calibri" w:eastAsia="Calibri" w:hAnsi="Calibri" w:cs="Calibri"/>
          <w:i/>
          <w:iCs/>
          <w:color w:val="000000" w:themeColor="text1"/>
        </w:rPr>
        <w:t>Chlamydia</w:t>
      </w:r>
      <w:r w:rsidRPr="432548C9">
        <w:rPr>
          <w:rFonts w:ascii="Calibri" w:eastAsia="Calibri" w:hAnsi="Calibri" w:cs="Calibri"/>
          <w:color w:val="000000" w:themeColor="text1"/>
        </w:rPr>
        <w:t xml:space="preserve"> </w:t>
      </w:r>
      <w:r w:rsidRPr="432548C9">
        <w:rPr>
          <w:rFonts w:ascii="Calibri" w:eastAsia="Calibri" w:hAnsi="Calibri" w:cs="Calibri"/>
          <w:i/>
          <w:iCs/>
          <w:color w:val="000000" w:themeColor="text1"/>
        </w:rPr>
        <w:t>trachomatis</w:t>
      </w:r>
      <w:r w:rsidRPr="432548C9">
        <w:rPr>
          <w:rFonts w:ascii="Calibri" w:eastAsia="Calibri" w:hAnsi="Calibri" w:cs="Calibri"/>
          <w:color w:val="000000" w:themeColor="text1"/>
        </w:rPr>
        <w:t xml:space="preserve"> (CT), </w:t>
      </w:r>
      <w:r w:rsidRPr="432548C9">
        <w:rPr>
          <w:rFonts w:ascii="Calibri" w:eastAsia="Calibri" w:hAnsi="Calibri" w:cs="Calibri"/>
          <w:i/>
          <w:iCs/>
          <w:color w:val="000000" w:themeColor="text1"/>
        </w:rPr>
        <w:t>Neisseria gonorrhoeae</w:t>
      </w:r>
      <w:r w:rsidRPr="432548C9">
        <w:rPr>
          <w:rFonts w:ascii="Calibri" w:eastAsia="Calibri" w:hAnsi="Calibri" w:cs="Calibri"/>
          <w:color w:val="000000" w:themeColor="text1"/>
        </w:rPr>
        <w:t xml:space="preserve"> (NG), and </w:t>
      </w:r>
      <w:r w:rsidRPr="432548C9">
        <w:rPr>
          <w:rFonts w:ascii="Calibri" w:eastAsia="Calibri" w:hAnsi="Calibri" w:cs="Calibri"/>
          <w:i/>
          <w:iCs/>
          <w:color w:val="000000" w:themeColor="text1"/>
        </w:rPr>
        <w:t xml:space="preserve">Treponema pallidum </w:t>
      </w:r>
      <w:r w:rsidRPr="432548C9">
        <w:rPr>
          <w:rFonts w:ascii="Calibri" w:eastAsia="Calibri" w:hAnsi="Calibri" w:cs="Calibri"/>
          <w:color w:val="000000" w:themeColor="text1"/>
        </w:rPr>
        <w:t>(TP; syphilis) are bacterial sexually transmitted infections (STI</w:t>
      </w:r>
      <w:r w:rsidRPr="432548C9">
        <w:rPr>
          <w:rFonts w:ascii="Calibri" w:eastAsia="Calibri" w:hAnsi="Calibri" w:cs="Calibri"/>
        </w:rPr>
        <w:t>) that are a significant public health concern in Canada. CT, NG and TP disproportionately impact certain groups and communities, such as GBMSM (gay, bisexual and other men who have sex have men) and TGW (transgender women)</w:t>
      </w:r>
      <w:r w:rsidRPr="432548C9">
        <w:rPr>
          <w:rFonts w:ascii="Calibri" w:eastAsia="Calibri" w:hAnsi="Calibri" w:cs="Calibri"/>
          <w:sz w:val="22"/>
        </w:rPr>
        <w:t xml:space="preserve">. </w:t>
      </w:r>
      <w:r w:rsidRPr="432548C9">
        <w:rPr>
          <w:rFonts w:ascii="Calibri" w:eastAsia="Calibri" w:hAnsi="Calibri" w:cs="Calibri"/>
        </w:rPr>
        <w:t xml:space="preserve">In recent years, rates of these infections have been trending upwards in </w:t>
      </w:r>
      <w:r w:rsidRPr="432548C9">
        <w:rPr>
          <w:rFonts w:ascii="Calibri" w:eastAsia="Calibri" w:hAnsi="Calibri" w:cs="Calibri"/>
          <w:color w:val="000000" w:themeColor="text1"/>
        </w:rPr>
        <w:t xml:space="preserve">Canada despite numerous public health </w:t>
      </w:r>
      <w:r w:rsidRPr="432548C9">
        <w:rPr>
          <w:rFonts w:ascii="Calibri" w:eastAsia="Calibri" w:hAnsi="Calibri" w:cs="Calibri"/>
        </w:rPr>
        <w:t>interventions. Factors that may be contributing to these observed increases include: a true rise in incidence</w:t>
      </w:r>
      <w:r w:rsidRPr="432548C9">
        <w:rPr>
          <w:rFonts w:ascii="Calibri" w:eastAsia="Calibri" w:hAnsi="Calibri" w:cs="Calibri"/>
          <w:color w:val="000000" w:themeColor="text1"/>
        </w:rPr>
        <w:t xml:space="preserve">; the use of improved diagnostic methods; and more effective contact tracing and case-finding. </w:t>
      </w:r>
    </w:p>
    <w:p w14:paraId="4C2243CB" w14:textId="77777777" w:rsidR="0045529B" w:rsidRPr="00DA21C3" w:rsidRDefault="0045529B" w:rsidP="00FD34F2">
      <w:bookmarkStart w:id="52" w:name="_Toc218514864"/>
      <w:r w:rsidRPr="00693E80">
        <w:t>Rationale for the Guidelines</w:t>
      </w:r>
      <w:bookmarkEnd w:id="52"/>
    </w:p>
    <w:p w14:paraId="598F96E4" w14:textId="77777777" w:rsidR="0045529B" w:rsidRPr="009A2CD7" w:rsidRDefault="0045529B" w:rsidP="0045529B">
      <w:pPr>
        <w:spacing w:after="0"/>
        <w:rPr>
          <w:rFonts w:ascii="Calibri" w:eastAsia="Calibri" w:hAnsi="Calibri" w:cs="Calibri"/>
          <w:color w:val="000000" w:themeColor="text1"/>
        </w:rPr>
      </w:pPr>
      <w:r w:rsidRPr="432548C9">
        <w:rPr>
          <w:rFonts w:ascii="Calibri" w:eastAsia="Calibri" w:hAnsi="Calibri" w:cs="Calibri"/>
          <w:color w:val="000000" w:themeColor="text1"/>
        </w:rPr>
        <w:t xml:space="preserve">In the context of strong evidence for the prophylactic use of antiviral agents to prevent HIV, there is interest among health professionals and population disproportionately impacted by these infections for biomedical strategies for the prevention of CT, NG and TP. Evidence is emerging regarding the benefits and harms of prophylactic use of the antibiotic doxycycline for these infections, as pre-exposure prophylaxis (Doxy-PrEP) or post-exposure prophylaxis (Doxy-PEP). Importantly, the prevention and management of these infections occur within a broader context of antimicrobial use (AMU) and antimicrobial resistance (AMR). </w:t>
      </w:r>
      <w:r w:rsidRPr="432548C9">
        <w:rPr>
          <w:rFonts w:ascii="Calibri" w:eastAsia="Calibri" w:hAnsi="Calibri" w:cs="Calibri"/>
        </w:rPr>
        <w:t>There is no current global consensus on the use of Doxy</w:t>
      </w:r>
      <w:r w:rsidRPr="432548C9">
        <w:rPr>
          <w:rFonts w:ascii="Calibri" w:eastAsia="Calibri" w:hAnsi="Calibri" w:cs="Calibri"/>
          <w:color w:val="000000" w:themeColor="text1"/>
        </w:rPr>
        <w:t>-PEP or Doxy-PrEP, prompting PHAC and the NAC-STBBI to prioritize the development of a Canadian recommendation in September 2023.</w:t>
      </w:r>
    </w:p>
    <w:p w14:paraId="0DE64518" w14:textId="77777777" w:rsidR="00B90030" w:rsidRDefault="00B90030" w:rsidP="00FD34F2">
      <w:pPr>
        <w:rPr>
          <w:b/>
          <w:bCs/>
        </w:rPr>
      </w:pPr>
      <w:bookmarkStart w:id="53" w:name="_Toc218514865"/>
    </w:p>
    <w:p w14:paraId="749C81FD" w14:textId="74CA3F2B" w:rsidR="0045529B" w:rsidRPr="00FD34F2" w:rsidRDefault="0045529B" w:rsidP="00FD34F2">
      <w:pPr>
        <w:rPr>
          <w:b/>
          <w:bCs/>
        </w:rPr>
      </w:pPr>
      <w:r w:rsidRPr="00FD34F2">
        <w:rPr>
          <w:b/>
          <w:bCs/>
        </w:rPr>
        <w:t>Objectives</w:t>
      </w:r>
      <w:bookmarkEnd w:id="53"/>
      <w:r w:rsidRPr="00FD34F2">
        <w:rPr>
          <w:b/>
          <w:bCs/>
        </w:rPr>
        <w:t xml:space="preserve"> </w:t>
      </w:r>
    </w:p>
    <w:p w14:paraId="3333CCF5" w14:textId="77777777" w:rsidR="0045529B" w:rsidRPr="00F73CA0" w:rsidRDefault="0045529B" w:rsidP="0045529B">
      <w:pPr>
        <w:rPr>
          <w:rFonts w:ascii="Calibri" w:hAnsi="Calibri" w:cs="Calibri"/>
        </w:rPr>
      </w:pPr>
      <w:r w:rsidRPr="00F73CA0">
        <w:rPr>
          <w:rFonts w:ascii="Calibri" w:hAnsi="Calibri" w:cs="Calibri"/>
        </w:rPr>
        <w:t>The objectives of this work were to assess the following review questions to formulate recommendation(s) on the use of prophylactic doxycycline for the prevention of bacterial STI (CT, NG, TP):</w:t>
      </w:r>
    </w:p>
    <w:p w14:paraId="654AAB31" w14:textId="77777777" w:rsidR="0045529B" w:rsidRPr="00F73CA0" w:rsidRDefault="0045529B" w:rsidP="0045529B">
      <w:pPr>
        <w:pStyle w:val="ListParagraph"/>
        <w:numPr>
          <w:ilvl w:val="0"/>
          <w:numId w:val="42"/>
        </w:numPr>
        <w:spacing w:after="160" w:line="279" w:lineRule="auto"/>
        <w:rPr>
          <w:rFonts w:ascii="Calibri" w:hAnsi="Calibri" w:cs="Calibri"/>
        </w:rPr>
      </w:pPr>
      <w:r w:rsidRPr="00F73CA0">
        <w:rPr>
          <w:rFonts w:ascii="Calibri" w:hAnsi="Calibri" w:cs="Calibri"/>
        </w:rPr>
        <w:t>What is the effectiveness of Doxy-PrEP and Doxy-PEP for the prevention of STI (</w:t>
      </w:r>
      <w:r w:rsidRPr="00A43207">
        <w:rPr>
          <w:rFonts w:ascii="Calibri" w:hAnsi="Calibri" w:cs="Calibri"/>
          <w:i/>
          <w:iCs/>
        </w:rPr>
        <w:t>Chlamydia trachomatis, Neisseria gonorrhoeae</w:t>
      </w:r>
      <w:r w:rsidRPr="00F73CA0">
        <w:rPr>
          <w:rFonts w:ascii="Calibri" w:hAnsi="Calibri" w:cs="Calibri"/>
        </w:rPr>
        <w:t xml:space="preserve"> and </w:t>
      </w:r>
      <w:r w:rsidRPr="00A43207">
        <w:rPr>
          <w:rFonts w:ascii="Calibri" w:hAnsi="Calibri" w:cs="Calibri"/>
          <w:i/>
          <w:iCs/>
        </w:rPr>
        <w:t>Treponema pallidum</w:t>
      </w:r>
      <w:r w:rsidRPr="00F73CA0">
        <w:rPr>
          <w:rFonts w:ascii="Calibri" w:hAnsi="Calibri" w:cs="Calibri"/>
        </w:rPr>
        <w:t xml:space="preserve"> [syphilis]) among people who are disproportionately affected by or deemed to be at high risk for STI as compared to no treatment, placebo, usual care, or any other intervention?</w:t>
      </w:r>
    </w:p>
    <w:p w14:paraId="7C966EFB" w14:textId="77777777" w:rsidR="0045529B" w:rsidRPr="00F73CA0" w:rsidRDefault="0045529B" w:rsidP="0045529B">
      <w:pPr>
        <w:pStyle w:val="ListParagraph"/>
        <w:numPr>
          <w:ilvl w:val="0"/>
          <w:numId w:val="42"/>
        </w:numPr>
        <w:spacing w:after="160" w:line="279" w:lineRule="auto"/>
        <w:rPr>
          <w:rFonts w:ascii="Calibri" w:hAnsi="Calibri" w:cs="Calibri"/>
        </w:rPr>
      </w:pPr>
      <w:r w:rsidRPr="00F73CA0">
        <w:rPr>
          <w:rFonts w:ascii="Calibri" w:hAnsi="Calibri" w:cs="Calibri"/>
        </w:rPr>
        <w:t>What are the possible antimicrobial resistance (AMR) consequences of the use of Doxy-PEP and Doxy-PrEP for the prevention of bacterial STI?</w:t>
      </w:r>
    </w:p>
    <w:p w14:paraId="70B43814" w14:textId="77777777" w:rsidR="00FD34F2" w:rsidRPr="00FD34F2" w:rsidRDefault="00FD34F2" w:rsidP="00FD34F2">
      <w:pPr>
        <w:rPr>
          <w:rStyle w:val="normaltextrun"/>
          <w:rFonts w:ascii="Calibri" w:eastAsia="Calibri" w:hAnsi="Calibri" w:cs="Calibri"/>
          <w:b/>
          <w:bCs/>
          <w:szCs w:val="24"/>
        </w:rPr>
      </w:pPr>
      <w:r w:rsidRPr="00FD34F2">
        <w:rPr>
          <w:rStyle w:val="normaltextrun"/>
          <w:rFonts w:ascii="Calibri" w:eastAsia="Calibri" w:hAnsi="Calibri" w:cs="Calibri"/>
          <w:b/>
          <w:bCs/>
          <w:szCs w:val="24"/>
        </w:rPr>
        <w:t>Methods</w:t>
      </w:r>
    </w:p>
    <w:p w14:paraId="7524776E" w14:textId="768F40C2" w:rsidR="0045529B" w:rsidRPr="004D0684" w:rsidRDefault="0045529B" w:rsidP="0045529B">
      <w:pPr>
        <w:rPr>
          <w:rStyle w:val="normaltextrun"/>
          <w:rFonts w:ascii="Calibri" w:eastAsia="Calibri" w:hAnsi="Calibri" w:cs="Calibri"/>
          <w:szCs w:val="24"/>
        </w:rPr>
      </w:pPr>
      <w:r w:rsidRPr="4240FFBD">
        <w:rPr>
          <w:rStyle w:val="normaltextrun"/>
          <w:rFonts w:ascii="Calibri" w:eastAsia="Calibri" w:hAnsi="Calibri" w:cs="Calibri"/>
          <w:szCs w:val="24"/>
        </w:rPr>
        <w:t>The</w:t>
      </w:r>
      <w:r w:rsidRPr="004D0684">
        <w:rPr>
          <w:rStyle w:val="normaltextrun"/>
          <w:rFonts w:ascii="Calibri" w:eastAsia="Calibri" w:hAnsi="Calibri" w:cs="Calibri"/>
          <w:szCs w:val="24"/>
        </w:rPr>
        <w:t xml:space="preserve"> recommendations were developed following the methods outlined in the 2014 "WHO handbook for guideline development" for STI experts, clinicians, researchers, and program managers. The Grading of Recommendations, Assessment, Development, and Evaluations (GRADE) methodology was applied to determine </w:t>
      </w:r>
      <w:r w:rsidRPr="004D0684">
        <w:rPr>
          <w:rStyle w:val="normaltextrun"/>
          <w:rFonts w:ascii="Calibri" w:eastAsia="Calibri" w:hAnsi="Calibri" w:cs="Calibri"/>
          <w:szCs w:val="24"/>
        </w:rPr>
        <w:lastRenderedPageBreak/>
        <w:t>the certainty of evidence and strength of the recommendations. The STBBI Secretariat at PHAC initiated a scoping exercise, including an environmental scan, evidence review, and evidence synthesis. A working group comprised of NAC-STBBI members, and subject matter experts (PHAC and external) was formed at the beginning of the project to undertake this work.</w:t>
      </w:r>
    </w:p>
    <w:p w14:paraId="1306B0CC" w14:textId="77777777" w:rsidR="0045529B" w:rsidRDefault="0045529B" w:rsidP="0045529B">
      <w:pPr>
        <w:rPr>
          <w:rStyle w:val="normaltextrun"/>
          <w:rFonts w:ascii="Calibri" w:eastAsia="Calibri" w:hAnsi="Calibri" w:cs="Calibri"/>
          <w:color w:val="000000" w:themeColor="text1"/>
          <w:szCs w:val="24"/>
        </w:rPr>
      </w:pPr>
      <w:r w:rsidRPr="004D0684">
        <w:rPr>
          <w:rStyle w:val="normaltextrun"/>
          <w:rFonts w:ascii="Calibri" w:eastAsia="Calibri" w:hAnsi="Calibri" w:cs="Calibri"/>
          <w:szCs w:val="24"/>
        </w:rPr>
        <w:t>An environmental scan was conducted to identify existing guidelines from national, international and sub-national (i.e., provincial, state or local) public health organizations; seven guidelines were identified and assessed. The quality of these guidelines was assessed using the Appraisal of Guidelines Research and Evaluation (AGREE) II instrument. Additionally, PROGRESS-Plus equity factors were identified in the guidelines to assess the range of social determinants and factors that contribute to health equity.</w:t>
      </w:r>
    </w:p>
    <w:p w14:paraId="02B94314" w14:textId="77777777" w:rsidR="0045529B" w:rsidRDefault="0045529B" w:rsidP="0045529B">
      <w:pPr>
        <w:spacing w:line="278" w:lineRule="auto"/>
        <w:rPr>
          <w:rStyle w:val="normaltextrun"/>
          <w:rFonts w:ascii="Calibri" w:eastAsia="Calibri" w:hAnsi="Calibri" w:cs="Calibri"/>
          <w:szCs w:val="24"/>
        </w:rPr>
      </w:pPr>
      <w:r w:rsidRPr="432548C9">
        <w:rPr>
          <w:rStyle w:val="normaltextrun"/>
          <w:rFonts w:ascii="Calibri" w:eastAsia="Calibri" w:hAnsi="Calibri" w:cs="Calibri"/>
          <w:color w:val="000000" w:themeColor="text1"/>
          <w:szCs w:val="24"/>
        </w:rPr>
        <w:t>Broad research questions were developed for the evidence review in consultation with the working group.</w:t>
      </w:r>
      <w:r w:rsidRPr="432548C9">
        <w:rPr>
          <w:rFonts w:ascii="Calibri" w:eastAsia="Calibri" w:hAnsi="Calibri" w:cs="Calibri"/>
        </w:rPr>
        <w:t xml:space="preserve"> T</w:t>
      </w:r>
      <w:r w:rsidRPr="432548C9">
        <w:rPr>
          <w:rStyle w:val="normaltextrun"/>
          <w:rFonts w:ascii="Calibri" w:eastAsia="Calibri" w:hAnsi="Calibri" w:cs="Calibri"/>
          <w:szCs w:val="24"/>
        </w:rPr>
        <w:t xml:space="preserve">he key questions were approved with population, intervention, comparator and outcomes (PICO) elements by the NAC-STBBI and the working group. Ten guideline questions were prepared and four were prioritized for this phase of guideline development. </w:t>
      </w:r>
    </w:p>
    <w:p w14:paraId="184EF5E3" w14:textId="77777777" w:rsidR="0045529B" w:rsidRDefault="0045529B" w:rsidP="0045529B">
      <w:pPr>
        <w:spacing w:line="278" w:lineRule="auto"/>
        <w:rPr>
          <w:rStyle w:val="normaltextrun"/>
          <w:rFonts w:ascii="Calibri" w:eastAsia="Calibri" w:hAnsi="Calibri" w:cs="Calibri"/>
          <w:szCs w:val="24"/>
        </w:rPr>
      </w:pPr>
      <w:r w:rsidRPr="6FFC99BB">
        <w:rPr>
          <w:rStyle w:val="normaltextrun"/>
          <w:rFonts w:ascii="Calibri" w:eastAsia="Calibri" w:hAnsi="Calibri" w:cs="Calibri"/>
          <w:szCs w:val="24"/>
        </w:rPr>
        <w:t>The four questions are:</w:t>
      </w:r>
    </w:p>
    <w:p w14:paraId="283BD1F9" w14:textId="77777777" w:rsidR="0045529B" w:rsidRPr="00DF056A" w:rsidRDefault="0045529B" w:rsidP="0045529B">
      <w:pPr>
        <w:pStyle w:val="ListParagraph"/>
        <w:numPr>
          <w:ilvl w:val="0"/>
          <w:numId w:val="41"/>
        </w:numPr>
        <w:spacing w:after="160" w:line="278" w:lineRule="auto"/>
        <w:rPr>
          <w:rFonts w:ascii="Calibri" w:eastAsia="Calibri" w:hAnsi="Calibri" w:cs="Calibri"/>
        </w:rPr>
      </w:pPr>
      <w:r w:rsidRPr="00693E80">
        <w:rPr>
          <w:rFonts w:ascii="Calibri" w:eastAsia="Calibri" w:hAnsi="Calibri" w:cs="Calibri"/>
        </w:rPr>
        <w:t>Should</w:t>
      </w:r>
      <w:r w:rsidRPr="00DF056A">
        <w:rPr>
          <w:rFonts w:ascii="Calibri" w:eastAsia="Calibri" w:hAnsi="Calibri" w:cs="Calibri"/>
        </w:rPr>
        <w:t xml:space="preserve"> Doxy-PEP or standard care be used in cisgender GBMSM TGW at risk of CT, NG or TP infection?</w:t>
      </w:r>
    </w:p>
    <w:p w14:paraId="19F2F309" w14:textId="77777777" w:rsidR="0045529B" w:rsidRPr="00DF056A" w:rsidRDefault="0045529B" w:rsidP="0045529B">
      <w:pPr>
        <w:pStyle w:val="ListParagraph"/>
        <w:numPr>
          <w:ilvl w:val="0"/>
          <w:numId w:val="41"/>
        </w:numPr>
        <w:spacing w:after="160" w:line="278" w:lineRule="auto"/>
        <w:rPr>
          <w:rFonts w:ascii="Calibri" w:eastAsia="Calibri" w:hAnsi="Calibri" w:cs="Calibri"/>
        </w:rPr>
      </w:pPr>
      <w:r w:rsidRPr="00DF056A">
        <w:rPr>
          <w:rFonts w:ascii="Calibri" w:eastAsia="Calibri" w:hAnsi="Calibri" w:cs="Calibri"/>
        </w:rPr>
        <w:t>Should Doxy-PEP or standard care be used for sexually active adolescents and adults at risk of CT, NG or TP infection? [Forthcoming]</w:t>
      </w:r>
    </w:p>
    <w:p w14:paraId="18624EE1" w14:textId="77777777" w:rsidR="0045529B" w:rsidRPr="00DF056A" w:rsidRDefault="0045529B" w:rsidP="0045529B">
      <w:pPr>
        <w:pStyle w:val="ListParagraph"/>
        <w:numPr>
          <w:ilvl w:val="0"/>
          <w:numId w:val="41"/>
        </w:numPr>
        <w:spacing w:after="160" w:line="278" w:lineRule="auto"/>
        <w:rPr>
          <w:rFonts w:ascii="Calibri" w:eastAsia="Calibri" w:hAnsi="Calibri" w:cs="Calibri"/>
        </w:rPr>
      </w:pPr>
      <w:r w:rsidRPr="00DF056A">
        <w:rPr>
          <w:rFonts w:ascii="Calibri" w:eastAsia="Calibri" w:hAnsi="Calibri" w:cs="Calibri"/>
        </w:rPr>
        <w:t>Should Doxy-PrEP or standard care be used in cisgender GBMSM and TGW at risk of CT, NG or TP infection? [Forthcoming]</w:t>
      </w:r>
    </w:p>
    <w:p w14:paraId="0E78C078" w14:textId="77777777" w:rsidR="0045529B" w:rsidRPr="00DF056A" w:rsidRDefault="0045529B" w:rsidP="0045529B">
      <w:pPr>
        <w:pStyle w:val="ListParagraph"/>
        <w:numPr>
          <w:ilvl w:val="0"/>
          <w:numId w:val="41"/>
        </w:numPr>
        <w:spacing w:after="160" w:line="278" w:lineRule="auto"/>
        <w:rPr>
          <w:rFonts w:ascii="Calibri" w:eastAsia="Calibri" w:hAnsi="Calibri" w:cs="Calibri"/>
        </w:rPr>
      </w:pPr>
      <w:r w:rsidRPr="00DF056A">
        <w:rPr>
          <w:rFonts w:ascii="Calibri" w:eastAsia="Calibri" w:hAnsi="Calibri" w:cs="Calibri"/>
        </w:rPr>
        <w:t>Should Doxy-PrEP or standard care be used in sexually active adolescents and adults at risk of CT, NG or TP infection? [Forthcoming]</w:t>
      </w:r>
    </w:p>
    <w:p w14:paraId="497C6DF2" w14:textId="77777777" w:rsidR="0045529B" w:rsidRPr="00D52232" w:rsidRDefault="0045529B" w:rsidP="0045529B">
      <w:pPr>
        <w:shd w:val="clear" w:color="auto" w:fill="FFFFFF"/>
        <w:spacing w:line="278" w:lineRule="auto"/>
        <w:rPr>
          <w:rFonts w:ascii="Calibri" w:eastAsia="Times New Roman" w:hAnsi="Calibri" w:cs="Calibri"/>
          <w:color w:val="333333"/>
          <w:lang w:eastAsia="en-CA"/>
        </w:rPr>
      </w:pPr>
      <w:r w:rsidRPr="00DF056A">
        <w:rPr>
          <w:rStyle w:val="normaltextrun"/>
          <w:rFonts w:ascii="Calibri" w:eastAsia="Calibri" w:hAnsi="Calibri" w:cs="Calibri"/>
          <w:szCs w:val="24"/>
        </w:rPr>
        <w:t xml:space="preserve">The </w:t>
      </w:r>
      <w:r w:rsidRPr="00DF056A">
        <w:rPr>
          <w:rStyle w:val="normaltextrun"/>
          <w:rFonts w:ascii="Calibri" w:eastAsia="Calibri" w:hAnsi="Calibri" w:cs="Calibri"/>
          <w:b/>
          <w:bCs/>
          <w:szCs w:val="24"/>
        </w:rPr>
        <w:t>population</w:t>
      </w:r>
      <w:r w:rsidRPr="00D52232">
        <w:rPr>
          <w:rFonts w:ascii="Calibri" w:eastAsia="Times New Roman" w:hAnsi="Calibri" w:cs="Calibri"/>
          <w:color w:val="333333"/>
          <w:lang w:eastAsia="en-CA"/>
        </w:rPr>
        <w:t> eligibility criteria were: cisgender GBMSM and TGW; sexually active adolescents and adults; cisgender heterosexual men; cisgender women; transgender men; all individuals assigned female at birth; individuals &lt; 25 years of age. The </w:t>
      </w:r>
      <w:r w:rsidRPr="00D52232">
        <w:rPr>
          <w:rFonts w:ascii="Calibri" w:eastAsia="Times New Roman" w:hAnsi="Calibri" w:cs="Calibri"/>
          <w:b/>
          <w:bCs/>
          <w:color w:val="333333"/>
          <w:lang w:eastAsia="en-CA"/>
        </w:rPr>
        <w:t>intervention</w:t>
      </w:r>
      <w:r w:rsidRPr="00D52232">
        <w:rPr>
          <w:rFonts w:ascii="Calibri" w:eastAsia="Times New Roman" w:hAnsi="Calibri" w:cs="Calibri"/>
          <w:color w:val="333333"/>
          <w:lang w:eastAsia="en-CA"/>
        </w:rPr>
        <w:t> eligibility criteria were Doxy-PEP (200 mg within 72 hrs of condomless sex) and Doxy-PrEP (100 mg daily). The </w:t>
      </w:r>
      <w:r w:rsidRPr="00D52232">
        <w:rPr>
          <w:rFonts w:ascii="Calibri" w:eastAsia="Times New Roman" w:hAnsi="Calibri" w:cs="Calibri"/>
          <w:b/>
          <w:bCs/>
          <w:color w:val="333333"/>
          <w:lang w:eastAsia="en-CA"/>
        </w:rPr>
        <w:t>comparators</w:t>
      </w:r>
      <w:r w:rsidRPr="00D52232">
        <w:rPr>
          <w:rFonts w:ascii="Calibri" w:eastAsia="Times New Roman" w:hAnsi="Calibri" w:cs="Calibri"/>
          <w:color w:val="333333"/>
          <w:lang w:eastAsia="en-CA"/>
        </w:rPr>
        <w:t> included: standard care; consistent condom use; and STI screening and treatment per existing guidelines. </w:t>
      </w:r>
      <w:r w:rsidRPr="00D52232">
        <w:rPr>
          <w:rFonts w:ascii="Calibri" w:eastAsia="Times New Roman" w:hAnsi="Calibri" w:cs="Calibri"/>
          <w:b/>
          <w:bCs/>
          <w:color w:val="333333"/>
          <w:lang w:eastAsia="en-CA"/>
        </w:rPr>
        <w:t>Outcomes of interest</w:t>
      </w:r>
      <w:r w:rsidRPr="00D52232">
        <w:rPr>
          <w:rFonts w:ascii="Calibri" w:eastAsia="Times New Roman" w:hAnsi="Calibri" w:cs="Calibri"/>
          <w:color w:val="333333"/>
          <w:lang w:eastAsia="en-CA"/>
        </w:rPr>
        <w:t> were: STI incidence; STI-associated morbidity (including, for individuals assigned female at birth, infertility, pelvic inflammatory disease); total antimicrobial use (AMU); impact on microbiome; impact on AMR for target and non-target organisms; STI transmission; and quality of life. Multiple databases (PubMed, Embase, EBM Reviews, MedRxiv and ClinicalTrials.gov database) were searched using search strategies for any relevant publications up to September 15, 2023. Additional studies were identified by members of the working group up to September 30, 2024 and were included as appropriate.</w:t>
      </w:r>
    </w:p>
    <w:p w14:paraId="4592B927" w14:textId="77777777" w:rsidR="0045529B" w:rsidRDefault="0045529B" w:rsidP="0045529B">
      <w:pPr>
        <w:shd w:val="clear" w:color="auto" w:fill="FFFFFF"/>
        <w:spacing w:line="278" w:lineRule="auto"/>
        <w:rPr>
          <w:rFonts w:ascii="Calibri" w:eastAsia="Times New Roman" w:hAnsi="Calibri" w:cs="Calibri"/>
          <w:color w:val="333333"/>
          <w:lang w:eastAsia="en-CA"/>
        </w:rPr>
      </w:pPr>
      <w:r w:rsidRPr="00D52232">
        <w:rPr>
          <w:rFonts w:ascii="Calibri" w:eastAsia="Times New Roman" w:hAnsi="Calibri" w:cs="Calibri"/>
          <w:color w:val="333333"/>
          <w:lang w:eastAsia="en-CA"/>
        </w:rPr>
        <w:lastRenderedPageBreak/>
        <w:t>A survey was conducted among stakeholders to assess the clarity of the recommendations for guideline question 1 and the feasibility of their implementation, including identifying any perceived barriers or facilitators. This feedback was presented to the working group before the recommendations were finalized.</w:t>
      </w:r>
    </w:p>
    <w:p w14:paraId="28D5D7A6" w14:textId="77777777" w:rsidR="0045529B" w:rsidRPr="007A5174" w:rsidRDefault="0045529B" w:rsidP="0045529B">
      <w:pPr>
        <w:shd w:val="clear" w:color="auto" w:fill="FFFFFF"/>
        <w:spacing w:line="278" w:lineRule="auto"/>
        <w:rPr>
          <w:rFonts w:ascii="Calibri" w:eastAsia="Times New Roman" w:hAnsi="Calibri" w:cs="Calibri"/>
          <w:color w:val="333333"/>
          <w:lang w:eastAsia="en-CA"/>
        </w:rPr>
      </w:pPr>
      <w:r w:rsidRPr="00D52232">
        <w:rPr>
          <w:rFonts w:ascii="Calibri" w:eastAsia="Times New Roman" w:hAnsi="Calibri" w:cs="Calibri"/>
          <w:color w:val="333333"/>
          <w:lang w:eastAsia="en-CA"/>
        </w:rPr>
        <w:t>Conflicts of interest were managed according to PHAC guidelines. At the beginning of each NAC-STBBI and working group meeting, the members disclosed their conflict of interests, if any. Some members of the group were selected due to their ongoing research on the topic and associated expertise. To manage any perceived conflict arising from these activities, those members were precluded from participating in discussions that examined the quality of their own work. After analysing each declaration of interest, it was concluded that no conflicts were identified by the working group and NAC-STBBI members that would prevent them from participating in the discussion and voting on the committee recommendations.</w:t>
      </w:r>
    </w:p>
    <w:p w14:paraId="66D29027" w14:textId="77777777" w:rsidR="00FD34F2" w:rsidRPr="00FD34F2" w:rsidRDefault="00FD34F2" w:rsidP="0045529B">
      <w:pPr>
        <w:spacing w:line="278" w:lineRule="auto"/>
        <w:rPr>
          <w:rFonts w:ascii="Calibri" w:hAnsi="Calibri" w:cs="Calibri"/>
          <w:b/>
          <w:bCs/>
          <w:color w:val="000000" w:themeColor="text1"/>
        </w:rPr>
      </w:pPr>
      <w:r w:rsidRPr="00FD34F2">
        <w:rPr>
          <w:rFonts w:ascii="Calibri" w:hAnsi="Calibri" w:cs="Calibri"/>
          <w:b/>
          <w:bCs/>
          <w:color w:val="000000" w:themeColor="text1"/>
        </w:rPr>
        <w:t>Justification for guideline 1 recommendations</w:t>
      </w:r>
    </w:p>
    <w:p w14:paraId="676E9BDB" w14:textId="22425C10" w:rsidR="0045529B" w:rsidRPr="00FB1624" w:rsidRDefault="0045529B" w:rsidP="0045529B">
      <w:pPr>
        <w:spacing w:line="278" w:lineRule="auto"/>
        <w:rPr>
          <w:rFonts w:ascii="Calibri" w:hAnsi="Calibri" w:cs="Calibri"/>
        </w:rPr>
      </w:pPr>
      <w:r w:rsidRPr="532357C4">
        <w:rPr>
          <w:rFonts w:ascii="Calibri" w:hAnsi="Calibri" w:cs="Calibri"/>
          <w:color w:val="000000" w:themeColor="text1"/>
        </w:rPr>
        <w:t>Findings from 4 clinical studies that evaluated the efficacy of Doxy-PEP were considered.</w:t>
      </w:r>
      <w:r w:rsidRPr="532357C4">
        <w:rPr>
          <w:rFonts w:ascii="Calibri" w:hAnsi="Calibri" w:cs="Calibri"/>
        </w:rPr>
        <w:t xml:space="preserve"> Clinical studies among cisgender GBMSM and TGW, including those taking HIV pre-exposure prophylaxis (HIV PrEP) and those living with HIV, have found Doxy-PEP to be efficacious over the short term (12-18 months) for preventing CT, TP, and, in some studies, NG infections. For CT and NG, findings varied between studies and by anatomical site of infection. Doxy-PEP users experienced large reductions in incident early TP infections. In these studies, Doxy-PEP was administered as a 200 mg oral dose, ingested between 24 and 72 hours following condomless sex. Doxy-PEP may have some benefits in reducing the risk of NG, but this benefit is expected to be lower than for CT or TP due to higher rates of tetracycline resistance in NG at baseline in Canada and globally. The durability of any benefit for NG will be highly dependent on the evolution of resistant strains. Widespread Doxy-PEP use among cisgender GBMSM and TGW may favour the spread of other AMR, multidrug-resistant (MDR) and extensively drug-resistant (XDR) pathogens. Evidence indicates that use of tetracycline-class antimicrobials, such as doxycycline, creates AMR selection pressure. Drug-resistant pathogens with tetracycline co-resistance disproportionately affect these populations (e.g., XDR Shigella, MDR </w:t>
      </w:r>
      <w:r w:rsidRPr="532357C4">
        <w:rPr>
          <w:rFonts w:ascii="Calibri" w:hAnsi="Calibri" w:cs="Calibri"/>
          <w:i/>
          <w:iCs/>
        </w:rPr>
        <w:t>Neisseria gonorrhoeae</w:t>
      </w:r>
      <w:r w:rsidRPr="532357C4">
        <w:rPr>
          <w:rFonts w:ascii="Calibri" w:hAnsi="Calibri" w:cs="Calibri"/>
        </w:rPr>
        <w:t xml:space="preserve">, </w:t>
      </w:r>
      <w:r w:rsidRPr="532357C4">
        <w:rPr>
          <w:rFonts w:ascii="Calibri" w:hAnsi="Calibri" w:cs="Calibri"/>
          <w:i/>
          <w:iCs/>
        </w:rPr>
        <w:t xml:space="preserve">Mycoplasma genitalium, </w:t>
      </w:r>
      <w:r w:rsidRPr="006F4420">
        <w:rPr>
          <w:rFonts w:ascii="Calibri" w:hAnsi="Calibri" w:cs="Calibri"/>
          <w:i/>
          <w:iCs/>
        </w:rPr>
        <w:t>Staphylococcus aureus</w:t>
      </w:r>
      <w:r w:rsidRPr="532357C4">
        <w:rPr>
          <w:rFonts w:ascii="Calibri" w:hAnsi="Calibri" w:cs="Calibri"/>
        </w:rPr>
        <w:t xml:space="preserve">).  </w:t>
      </w:r>
    </w:p>
    <w:p w14:paraId="195E1513" w14:textId="77777777" w:rsidR="0045529B" w:rsidRPr="00FB1624" w:rsidRDefault="0045529B" w:rsidP="0045529B">
      <w:pPr>
        <w:spacing w:line="278" w:lineRule="auto"/>
        <w:rPr>
          <w:rFonts w:ascii="Calibri" w:hAnsi="Calibri" w:cs="Calibri"/>
        </w:rPr>
      </w:pPr>
      <w:r w:rsidRPr="00FB1624">
        <w:rPr>
          <w:rFonts w:ascii="Calibri" w:hAnsi="Calibri" w:cs="Calibri"/>
        </w:rPr>
        <w:t xml:space="preserve">The overall certainty of evidence of effects is moderate (based on only the evidence for effectiveness; appraisal of AMR evidence has not yet been completed). However, in considering related evidence for and understanding of the development of antimicrobial resistance and antimicrobial stewardship principles, as well as the lack of evidence on patient values and preferences, resources use/cost-effectiveness, feasibility in Canadian context and mixed evidence on acceptability, the working group members selected type of recommendation as conditional recommendation for the intervention. The votes were divided as strong recommendation for (1 vote), conditional recommendation for (4 votes) </w:t>
      </w:r>
      <w:r w:rsidRPr="00FB1624">
        <w:rPr>
          <w:rFonts w:ascii="Calibri" w:hAnsi="Calibri" w:cs="Calibri"/>
        </w:rPr>
        <w:lastRenderedPageBreak/>
        <w:t>and conditional recommendation against (2 votes) DoxyPEP use for cisgender gbMSM and TGW at risk of CT, NG or TP infection. During the June 2025 NAC-STBBI teleconference, all present members voted to approve the conditional recommendations for Doxy-PEP use for cisgender GBMSM and TGW at risk of CT, NG or TP infection. Thus, the majority decision proceeds with "suggest".</w:t>
      </w:r>
    </w:p>
    <w:p w14:paraId="495B3EB0" w14:textId="77777777" w:rsidR="0045529B" w:rsidRPr="00FB1624" w:rsidRDefault="0045529B" w:rsidP="0045529B">
      <w:pPr>
        <w:spacing w:line="278" w:lineRule="auto"/>
        <w:rPr>
          <w:rFonts w:ascii="Calibri" w:eastAsia="Calibri" w:hAnsi="Calibri" w:cs="Calibri"/>
          <w:color w:val="000000" w:themeColor="text1"/>
        </w:rPr>
      </w:pPr>
      <w:r w:rsidRPr="00FB1624">
        <w:rPr>
          <w:rFonts w:ascii="Calibri" w:eastAsia="Calibri" w:hAnsi="Calibri" w:cs="Calibri"/>
          <w:color w:val="000000" w:themeColor="text1"/>
        </w:rPr>
        <w:t>In conclusion, the working group acknowledged the effectiveness of Doxy-PEP in preventing the acquisition of STI; however, concerns were raised about the short follow-up interval for currently available evidence and the uncertainty about the long-term benefits and harms from the intervention. The potential to accelerate AMR and MDR in target and non-target organisms remains a potential factor requiring ongoing monitoring and further assessment as new evidence becomes available. When examining equity factors for GBMSM and TGW, the working group determined that the use of Doxy-PEP has the potential to ameliorate disparities in rates of STI that disproportionately affect these populations. At the same time, the potential AMR harms of Doxy-PEP use could exacerbate AMR inequities (e.g. in AMR/MDR NG). Ultimately, when the working group considered these factors, it was determined that on balance, the known benefits of the intervention currently outweigh the potential harms, supporting the intervention.</w:t>
      </w:r>
    </w:p>
    <w:p w14:paraId="4C80B609" w14:textId="77777777" w:rsidR="0045529B" w:rsidRPr="00FD34F2" w:rsidRDefault="0045529B" w:rsidP="00FD34F2">
      <w:pPr>
        <w:rPr>
          <w:b/>
          <w:bCs/>
          <w:color w:val="000000" w:themeColor="text1"/>
          <w:sz w:val="22"/>
        </w:rPr>
      </w:pPr>
      <w:bookmarkStart w:id="54" w:name="_Toc218514868"/>
      <w:r w:rsidRPr="00FD34F2">
        <w:rPr>
          <w:b/>
          <w:bCs/>
        </w:rPr>
        <w:t>Summary recommendations for guideline question 1</w:t>
      </w:r>
      <w:bookmarkEnd w:id="54"/>
    </w:p>
    <w:p w14:paraId="00D457C8" w14:textId="77777777" w:rsidR="0045529B" w:rsidRPr="00DA4A9D" w:rsidRDefault="0045529B" w:rsidP="0045529B">
      <w:pPr>
        <w:spacing w:line="278" w:lineRule="auto"/>
        <w:rPr>
          <w:rFonts w:ascii="Calibri" w:eastAsia="Times New Roman" w:hAnsi="Calibri" w:cs="Calibri"/>
          <w:color w:val="333333"/>
          <w:lang w:eastAsia="en-CA"/>
        </w:rPr>
      </w:pPr>
      <w:bookmarkStart w:id="55" w:name="_Hlk215668466"/>
      <w:r w:rsidRPr="00693E80">
        <w:rPr>
          <w:rFonts w:ascii="Calibri" w:eastAsia="Calibri" w:hAnsi="Calibri" w:cs="Calibri"/>
          <w:color w:val="000000" w:themeColor="text1"/>
        </w:rPr>
        <w:t>There are two</w:t>
      </w:r>
      <w:r w:rsidRPr="00B4721E">
        <w:rPr>
          <w:rFonts w:ascii="Calibri" w:eastAsia="Times New Roman" w:hAnsi="Calibri" w:cs="Calibri"/>
          <w:color w:val="333333"/>
          <w:lang w:eastAsia="en-CA"/>
        </w:rPr>
        <w:t xml:space="preserve"> recommendations related to the </w:t>
      </w:r>
      <w:r w:rsidRPr="00B4721E">
        <w:rPr>
          <w:rFonts w:ascii="Calibri" w:eastAsia="Times New Roman" w:hAnsi="Calibri" w:cs="Calibri"/>
          <w:b/>
          <w:bCs/>
          <w:color w:val="333333"/>
          <w:lang w:eastAsia="en-CA"/>
        </w:rPr>
        <w:t>use of doxycycline prophylaxis for bacterial sexually transmitted infections (STI) prophylaxis in cisgender GBMSM and TGW</w:t>
      </w:r>
      <w:r w:rsidRPr="00B4721E">
        <w:rPr>
          <w:rFonts w:ascii="Calibri" w:eastAsia="Times New Roman" w:hAnsi="Calibri" w:cs="Calibri"/>
          <w:color w:val="333333"/>
          <w:lang w:eastAsia="en-CA"/>
        </w:rPr>
        <w:t>. Recommendation 1 focuses on offering Doxy-PEP and recommendation 2 focuses on counselling. Remarks are provided for healthcare providers to explain the recommendation and describe any relevant considerations.</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0045529B" w14:paraId="22C8B821" w14:textId="77777777" w:rsidTr="0045529B">
        <w:trPr>
          <w:trHeight w:val="1078"/>
        </w:trPr>
        <w:tc>
          <w:tcPr>
            <w:tcW w:w="9360" w:type="dxa"/>
            <w:tcBorders>
              <w:top w:val="single" w:sz="6" w:space="0" w:color="auto"/>
              <w:left w:val="single" w:sz="6" w:space="0" w:color="auto"/>
              <w:right w:val="single" w:sz="6" w:space="0" w:color="auto"/>
            </w:tcBorders>
            <w:shd w:val="clear" w:color="auto" w:fill="3071C3" w:themeFill="text2" w:themeFillTint="BF"/>
            <w:tcMar>
              <w:left w:w="90" w:type="dxa"/>
              <w:right w:w="90" w:type="dxa"/>
            </w:tcMar>
          </w:tcPr>
          <w:p w14:paraId="6D384555" w14:textId="77777777" w:rsidR="0045529B" w:rsidRPr="00073576" w:rsidRDefault="0045529B" w:rsidP="0045529B">
            <w:pPr>
              <w:spacing w:after="160"/>
              <w:rPr>
                <w:rFonts w:ascii="Calibri" w:eastAsia="Calibri" w:hAnsi="Calibri" w:cs="Calibri"/>
                <w:color w:val="FFFFFF" w:themeColor="background1"/>
                <w:sz w:val="28"/>
                <w:szCs w:val="28"/>
              </w:rPr>
            </w:pPr>
            <w:r w:rsidRPr="00693E80">
              <w:rPr>
                <w:rFonts w:ascii="Calibri" w:eastAsia="Calibri" w:hAnsi="Calibri" w:cs="Calibri"/>
                <w:b/>
                <w:bCs/>
                <w:color w:val="FFFFFF" w:themeColor="background1"/>
                <w:sz w:val="28"/>
                <w:szCs w:val="28"/>
              </w:rPr>
              <w:t xml:space="preserve">Recommendation 1: Doxycycline post-exposure prophylaxis for cisgender </w:t>
            </w:r>
            <w:r>
              <w:rPr>
                <w:rFonts w:ascii="Calibri" w:eastAsia="Calibri" w:hAnsi="Calibri" w:cs="Calibri"/>
                <w:b/>
                <w:bCs/>
                <w:color w:val="FFFFFF" w:themeColor="background1"/>
                <w:sz w:val="28"/>
                <w:szCs w:val="28"/>
              </w:rPr>
              <w:t>gay, bisexual and other men who have sex with men (GBMSM),</w:t>
            </w:r>
            <w:r w:rsidRPr="00693E80">
              <w:rPr>
                <w:rFonts w:ascii="Calibri" w:eastAsia="Calibri" w:hAnsi="Calibri" w:cs="Calibri"/>
                <w:b/>
                <w:bCs/>
                <w:color w:val="FFFFFF" w:themeColor="background1"/>
                <w:sz w:val="28"/>
                <w:szCs w:val="28"/>
              </w:rPr>
              <w:t xml:space="preserve"> and transgender women</w:t>
            </w:r>
            <w:r>
              <w:rPr>
                <w:rFonts w:ascii="Calibri" w:eastAsia="Calibri" w:hAnsi="Calibri" w:cs="Calibri"/>
                <w:b/>
                <w:bCs/>
                <w:color w:val="FFFFFF" w:themeColor="background1"/>
                <w:sz w:val="28"/>
                <w:szCs w:val="28"/>
              </w:rPr>
              <w:t xml:space="preserve"> (TGW)</w:t>
            </w:r>
          </w:p>
        </w:tc>
      </w:tr>
      <w:tr w:rsidR="0045529B" w:rsidRPr="00047EDF" w14:paraId="0F9725B0" w14:textId="77777777" w:rsidTr="0045529B">
        <w:trPr>
          <w:trHeight w:val="300"/>
        </w:trPr>
        <w:tc>
          <w:tcPr>
            <w:tcW w:w="9360" w:type="dxa"/>
            <w:tcBorders>
              <w:left w:val="single" w:sz="6" w:space="0" w:color="auto"/>
              <w:right w:val="single" w:sz="6" w:space="0" w:color="auto"/>
            </w:tcBorders>
            <w:tcMar>
              <w:left w:w="90" w:type="dxa"/>
              <w:right w:w="90" w:type="dxa"/>
            </w:tcMar>
          </w:tcPr>
          <w:p w14:paraId="094C9EBC" w14:textId="77777777" w:rsidR="0045529B" w:rsidRPr="00C4722E" w:rsidRDefault="0045529B" w:rsidP="0045529B">
            <w:pPr>
              <w:rPr>
                <w:rFonts w:ascii="Calibri" w:eastAsia="Calibri" w:hAnsi="Calibri" w:cs="Calibri"/>
              </w:rPr>
            </w:pPr>
            <w:r w:rsidRPr="00693E80">
              <w:rPr>
                <w:rFonts w:ascii="Calibri" w:eastAsia="Calibri" w:hAnsi="Calibri" w:cs="Calibri"/>
              </w:rPr>
              <w:t xml:space="preserve">The </w:t>
            </w:r>
            <w:r w:rsidRPr="00C4722E">
              <w:rPr>
                <w:rFonts w:ascii="Calibri" w:eastAsia="Calibri" w:hAnsi="Calibri" w:cs="Calibri"/>
              </w:rPr>
              <w:t>NAC-STBBI suggests offering doxycycline post-exposure prophylaxis (200 mg orally, taken within 72 hours of exposure) to cisgender GBMSM and TGW at increased risk of bacterial STI as a component of comprehensive STBBI services to reduce the risk of syphilis, chlamydia and possibly gonorrhea.</w:t>
            </w:r>
          </w:p>
          <w:p w14:paraId="5B72567B" w14:textId="77777777" w:rsidR="0045529B" w:rsidRDefault="0045529B" w:rsidP="0045529B">
            <w:pPr>
              <w:rPr>
                <w:rFonts w:ascii="Calibri" w:eastAsia="Calibri" w:hAnsi="Calibri" w:cs="Calibri"/>
              </w:rPr>
            </w:pPr>
            <w:r w:rsidRPr="00C4722E">
              <w:rPr>
                <w:rFonts w:ascii="Calibri" w:eastAsia="Calibri" w:hAnsi="Calibri" w:cs="Calibri"/>
              </w:rPr>
              <w:t>(Conditional recommendation, moderate certainty of evidence)</w:t>
            </w:r>
          </w:p>
          <w:p w14:paraId="4C6C91C3" w14:textId="77777777" w:rsidR="0045529B" w:rsidRDefault="0045529B" w:rsidP="0045529B">
            <w:pPr>
              <w:rPr>
                <w:rFonts w:ascii="Calibri" w:eastAsia="Calibri" w:hAnsi="Calibri" w:cs="Calibri"/>
              </w:rPr>
            </w:pPr>
          </w:p>
          <w:p w14:paraId="7C20C0F3" w14:textId="77777777" w:rsidR="0045529B" w:rsidRPr="00C4722E" w:rsidRDefault="0045529B" w:rsidP="0045529B">
            <w:pPr>
              <w:rPr>
                <w:rFonts w:ascii="Calibri" w:eastAsia="Calibri" w:hAnsi="Calibri" w:cs="Calibri"/>
              </w:rPr>
            </w:pPr>
          </w:p>
        </w:tc>
      </w:tr>
      <w:tr w:rsidR="0045529B" w:rsidRPr="00047EDF" w14:paraId="34C8DAF8" w14:textId="77777777" w:rsidTr="0045529B">
        <w:trPr>
          <w:trHeight w:val="300"/>
        </w:trPr>
        <w:tc>
          <w:tcPr>
            <w:tcW w:w="9360" w:type="dxa"/>
            <w:tcBorders>
              <w:left w:val="single" w:sz="6" w:space="0" w:color="auto"/>
              <w:bottom w:val="single" w:sz="6" w:space="0" w:color="auto"/>
              <w:right w:val="single" w:sz="6" w:space="0" w:color="auto"/>
            </w:tcBorders>
            <w:tcMar>
              <w:left w:w="90" w:type="dxa"/>
              <w:right w:w="90" w:type="dxa"/>
            </w:tcMar>
          </w:tcPr>
          <w:p w14:paraId="348D8AB5" w14:textId="77777777" w:rsidR="0045529B" w:rsidRPr="009A2CD7" w:rsidRDefault="0045529B" w:rsidP="0045529B">
            <w:pPr>
              <w:ind w:left="360" w:hanging="360"/>
              <w:rPr>
                <w:rFonts w:ascii="Calibri" w:eastAsia="Calibri" w:hAnsi="Calibri" w:cs="Calibri"/>
                <w:color w:val="000000" w:themeColor="text1"/>
              </w:rPr>
            </w:pPr>
            <w:bookmarkStart w:id="56" w:name="_Hlk215669650"/>
            <w:bookmarkEnd w:id="55"/>
            <w:r w:rsidRPr="00693E80">
              <w:rPr>
                <w:rFonts w:ascii="Calibri" w:eastAsia="Calibri" w:hAnsi="Calibri" w:cs="Calibri"/>
                <w:b/>
                <w:bCs/>
                <w:color w:val="000000" w:themeColor="text1"/>
              </w:rPr>
              <w:t>Remarks</w:t>
            </w:r>
          </w:p>
          <w:p w14:paraId="350F1D51"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There is no consensus definition for "increased risk" at this time. Examples of behaviours that can increase an individual's risk of bacterial STI include, but are not limited to, elements such as:</w:t>
            </w:r>
          </w:p>
          <w:p w14:paraId="1FE484EB" w14:textId="77777777" w:rsidR="0045529B" w:rsidRPr="00354B3C" w:rsidRDefault="0045529B" w:rsidP="0045529B">
            <w:pPr>
              <w:pStyle w:val="ListParagraph"/>
              <w:numPr>
                <w:ilvl w:val="1"/>
                <w:numId w:val="40"/>
              </w:numPr>
              <w:rPr>
                <w:rFonts w:ascii="Calibri" w:eastAsia="Calibri" w:hAnsi="Calibri" w:cs="Calibri"/>
                <w:color w:val="000000" w:themeColor="text1"/>
              </w:rPr>
            </w:pPr>
            <w:r w:rsidRPr="00354B3C">
              <w:rPr>
                <w:rFonts w:ascii="Calibri" w:eastAsia="Calibri" w:hAnsi="Calibri" w:cs="Calibri"/>
                <w:color w:val="000000" w:themeColor="text1"/>
              </w:rPr>
              <w:t>recent prior bacterial STI(s),</w:t>
            </w:r>
          </w:p>
          <w:p w14:paraId="1CCBF2B5" w14:textId="77777777" w:rsidR="0045529B" w:rsidRPr="00354B3C" w:rsidRDefault="0045529B" w:rsidP="0045529B">
            <w:pPr>
              <w:pStyle w:val="ListParagraph"/>
              <w:numPr>
                <w:ilvl w:val="1"/>
                <w:numId w:val="40"/>
              </w:numPr>
              <w:rPr>
                <w:rFonts w:ascii="Calibri" w:eastAsia="Calibri" w:hAnsi="Calibri" w:cs="Calibri"/>
                <w:color w:val="000000" w:themeColor="text1"/>
              </w:rPr>
            </w:pPr>
            <w:r w:rsidRPr="00354B3C">
              <w:rPr>
                <w:rFonts w:ascii="Calibri" w:eastAsia="Calibri" w:hAnsi="Calibri" w:cs="Calibri"/>
                <w:color w:val="000000" w:themeColor="text1"/>
              </w:rPr>
              <w:lastRenderedPageBreak/>
              <w:t>those with 10 or more partners in the last 6 months or condomless sex with multiple partners,</w:t>
            </w:r>
          </w:p>
          <w:p w14:paraId="572ABA3B" w14:textId="77777777" w:rsidR="0045529B" w:rsidRPr="00354B3C" w:rsidRDefault="0045529B" w:rsidP="0045529B">
            <w:pPr>
              <w:pStyle w:val="ListParagraph"/>
              <w:numPr>
                <w:ilvl w:val="1"/>
                <w:numId w:val="40"/>
              </w:numPr>
              <w:rPr>
                <w:rFonts w:ascii="Calibri" w:eastAsia="Calibri" w:hAnsi="Calibri" w:cs="Calibri"/>
                <w:color w:val="000000" w:themeColor="text1"/>
              </w:rPr>
            </w:pPr>
            <w:r w:rsidRPr="00354B3C">
              <w:rPr>
                <w:rFonts w:ascii="Calibri" w:eastAsia="Calibri" w:hAnsi="Calibri" w:cs="Calibri"/>
                <w:color w:val="000000" w:themeColor="text1"/>
              </w:rPr>
              <w:t>those engaging in "chemsex" (using stimulants during sex e.g. crystal methamphetamine), and</w:t>
            </w:r>
          </w:p>
          <w:p w14:paraId="1D375748" w14:textId="77777777" w:rsidR="0045529B" w:rsidRPr="00354B3C" w:rsidRDefault="0045529B" w:rsidP="0045529B">
            <w:pPr>
              <w:pStyle w:val="ListParagraph"/>
              <w:numPr>
                <w:ilvl w:val="1"/>
                <w:numId w:val="40"/>
              </w:numPr>
              <w:rPr>
                <w:rFonts w:ascii="Calibri" w:eastAsia="Calibri" w:hAnsi="Calibri" w:cs="Calibri"/>
                <w:color w:val="000000" w:themeColor="text1"/>
              </w:rPr>
            </w:pPr>
            <w:r w:rsidRPr="00354B3C">
              <w:rPr>
                <w:rFonts w:ascii="Calibri" w:eastAsia="Calibri" w:hAnsi="Calibri" w:cs="Calibri"/>
                <w:color w:val="000000" w:themeColor="text1"/>
              </w:rPr>
              <w:t>individuals engaging in group sex.</w:t>
            </w:r>
          </w:p>
          <w:p w14:paraId="6F1C2392"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Users are advised to take no more than 1 dose (200 mg) in a 24-hour period.</w:t>
            </w:r>
          </w:p>
          <w:p w14:paraId="258D7DA5"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To minimize antimicrobial use, if a Doxy-PEP user has multiple sexual partners during a period of 2-3 consecutive days (e.g. a weekend), a single dose of 200 mg Doxy-PEP at the end of the 72-hour period (e.g. on Monday morning after the weekend) should adequately cover their STI risk.</w:t>
            </w:r>
          </w:p>
          <w:p w14:paraId="4019E21B"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The use of Doxy-PEP should be reassessed every three to six months as an individual's risk may change over time.</w:t>
            </w:r>
          </w:p>
          <w:p w14:paraId="3C04045E"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 xml:space="preserve">Clinicians should follow existing STI screening recommendations as outlined in PHAC's STBBI guides for health professionals. The optimal frequency of STI screening for individuals taking Doxy-PEP is not known. The NAC-STBBI </w:t>
            </w:r>
            <w:r>
              <w:rPr>
                <w:rFonts w:ascii="Calibri" w:eastAsia="Calibri" w:hAnsi="Calibri" w:cs="Calibri"/>
                <w:color w:val="000000" w:themeColor="text1"/>
              </w:rPr>
              <w:t>recommends</w:t>
            </w:r>
            <w:r w:rsidRPr="00354B3C">
              <w:rPr>
                <w:rFonts w:ascii="Calibri" w:eastAsia="Calibri" w:hAnsi="Calibri" w:cs="Calibri"/>
                <w:color w:val="000000" w:themeColor="text1"/>
              </w:rPr>
              <w:t xml:space="preserve"> targeted "opt-out" syphilis, chlamydia and gonorrhea screening as frequently as every 3 months when serving population groups and/or communities experiencing high prevalence of syphilis (and other STBBI), including GBMSM.</w:t>
            </w:r>
          </w:p>
          <w:p w14:paraId="01286CD5"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Given antimicrobial resistance concerns, when testing for NG, the NAC-STBBI recommends collecting specimens for both culture and NAAT in several scenarios, including for individuals with symptoms and when assessing NG contacts. For individuals who are diagnosed with NG using NAAT specimens only, collect a specimen for culture prior to administering treatment, as long as doing so does not delay treatment.</w:t>
            </w:r>
          </w:p>
          <w:p w14:paraId="06E3E353"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To enable monitoring of tetracycline resistance, routine antimicrobial susceptibility testing by laboratories is recommended.</w:t>
            </w:r>
          </w:p>
          <w:p w14:paraId="6F94A69D" w14:textId="77777777" w:rsidR="0045529B" w:rsidRPr="00354B3C" w:rsidRDefault="0045529B" w:rsidP="0045529B">
            <w:pPr>
              <w:pStyle w:val="ListParagraph"/>
              <w:numPr>
                <w:ilvl w:val="0"/>
                <w:numId w:val="40"/>
              </w:numPr>
              <w:rPr>
                <w:rFonts w:ascii="Calibri" w:eastAsia="Calibri" w:hAnsi="Calibri" w:cs="Calibri"/>
                <w:color w:val="000000" w:themeColor="text1"/>
              </w:rPr>
            </w:pPr>
            <w:r w:rsidRPr="00354B3C">
              <w:rPr>
                <w:rFonts w:ascii="Calibri" w:eastAsia="Calibri" w:hAnsi="Calibri" w:cs="Calibri"/>
                <w:color w:val="000000" w:themeColor="text1"/>
              </w:rPr>
              <w:t>Use of doxycycline as prophylaxis against bacterial sexually transmitted infections (STI) is an off-label indication.</w:t>
            </w:r>
          </w:p>
        </w:tc>
      </w:tr>
      <w:tr w:rsidR="0045529B" w:rsidRPr="00047EDF" w14:paraId="4A811757" w14:textId="77777777" w:rsidTr="0045529B">
        <w:tc>
          <w:tcPr>
            <w:tcW w:w="9360" w:type="dxa"/>
            <w:tcBorders>
              <w:top w:val="single" w:sz="6" w:space="0" w:color="auto"/>
              <w:left w:val="single" w:sz="6" w:space="0" w:color="auto"/>
              <w:right w:val="single" w:sz="6" w:space="0" w:color="auto"/>
            </w:tcBorders>
            <w:shd w:val="clear" w:color="auto" w:fill="3071C3" w:themeFill="text2" w:themeFillTint="BF"/>
            <w:tcMar>
              <w:left w:w="90" w:type="dxa"/>
              <w:right w:w="90" w:type="dxa"/>
            </w:tcMar>
          </w:tcPr>
          <w:p w14:paraId="18853CFB" w14:textId="77777777" w:rsidR="0045529B" w:rsidRPr="007F2E43" w:rsidRDefault="0045529B" w:rsidP="0045529B">
            <w:pPr>
              <w:keepNext/>
              <w:keepLines/>
              <w:rPr>
                <w:rFonts w:ascii="Calibri" w:eastAsia="Calibri" w:hAnsi="Calibri" w:cs="Calibri"/>
                <w:color w:val="FFFFFF" w:themeColor="background1"/>
                <w:sz w:val="28"/>
                <w:szCs w:val="28"/>
              </w:rPr>
            </w:pPr>
            <w:r w:rsidRPr="00693E80">
              <w:rPr>
                <w:rFonts w:ascii="Calibri" w:eastAsia="Calibri" w:hAnsi="Calibri" w:cs="Calibri"/>
                <w:b/>
                <w:bCs/>
                <w:color w:val="FFFFFF" w:themeColor="background1"/>
                <w:sz w:val="28"/>
                <w:szCs w:val="28"/>
              </w:rPr>
              <w:lastRenderedPageBreak/>
              <w:t>Recommendation 2: Counselling on risks for shared decision making</w:t>
            </w:r>
          </w:p>
        </w:tc>
      </w:tr>
      <w:tr w:rsidR="0045529B" w:rsidRPr="00047EDF" w14:paraId="4A379481" w14:textId="77777777" w:rsidTr="0045529B">
        <w:tc>
          <w:tcPr>
            <w:tcW w:w="9360" w:type="dxa"/>
            <w:tcBorders>
              <w:left w:val="single" w:sz="6" w:space="0" w:color="auto"/>
              <w:right w:val="single" w:sz="6" w:space="0" w:color="auto"/>
            </w:tcBorders>
            <w:tcMar>
              <w:left w:w="90" w:type="dxa"/>
              <w:right w:w="90" w:type="dxa"/>
            </w:tcMar>
          </w:tcPr>
          <w:p w14:paraId="55693A3F" w14:textId="77777777" w:rsidR="0045529B" w:rsidRPr="007E5459" w:rsidRDefault="0045529B" w:rsidP="0045529B">
            <w:pPr>
              <w:keepNext/>
              <w:keepLines/>
              <w:rPr>
                <w:rFonts w:ascii="Calibri" w:eastAsia="Calibri" w:hAnsi="Calibri" w:cs="Calibri"/>
                <w:color w:val="000000" w:themeColor="text1"/>
              </w:rPr>
            </w:pPr>
            <w:r w:rsidRPr="00693E80">
              <w:rPr>
                <w:rFonts w:ascii="Calibri" w:eastAsia="Calibri" w:hAnsi="Calibri" w:cs="Calibri"/>
                <w:color w:val="000000" w:themeColor="text1"/>
              </w:rPr>
              <w:t>To</w:t>
            </w:r>
            <w:r w:rsidRPr="007E5459">
              <w:rPr>
                <w:rFonts w:ascii="Calibri" w:eastAsia="Calibri" w:hAnsi="Calibri" w:cs="Calibri"/>
                <w:color w:val="000000" w:themeColor="text1"/>
              </w:rPr>
              <w:t xml:space="preserve"> inform shared clinical decision-making about Doxy-PEP use, the NAC-STBBI recommends discussing personal, community (e.g., GBMSM) and population-level risks of antimicrobial resistance with individuals considering this intervention.</w:t>
            </w:r>
          </w:p>
          <w:p w14:paraId="40EC7454" w14:textId="77777777" w:rsidR="0045529B" w:rsidRPr="007E5459" w:rsidRDefault="0045529B" w:rsidP="0045529B">
            <w:pPr>
              <w:keepNext/>
              <w:keepLines/>
              <w:rPr>
                <w:rFonts w:ascii="Calibri" w:eastAsia="Calibri" w:hAnsi="Calibri" w:cs="Calibri"/>
                <w:color w:val="000000" w:themeColor="text1"/>
              </w:rPr>
            </w:pPr>
            <w:r w:rsidRPr="007E5459">
              <w:rPr>
                <w:rFonts w:ascii="Calibri" w:eastAsia="Calibri" w:hAnsi="Calibri" w:cs="Calibri"/>
                <w:color w:val="000000" w:themeColor="text1"/>
              </w:rPr>
              <w:t>(Strong recommendation, moderate certainty of evidence)</w:t>
            </w:r>
          </w:p>
        </w:tc>
      </w:tr>
      <w:tr w:rsidR="0045529B" w:rsidRPr="00047EDF" w14:paraId="56CA53FD" w14:textId="77777777" w:rsidTr="0045529B">
        <w:tc>
          <w:tcPr>
            <w:tcW w:w="9360" w:type="dxa"/>
            <w:tcBorders>
              <w:left w:val="single" w:sz="6" w:space="0" w:color="auto"/>
              <w:bottom w:val="single" w:sz="6" w:space="0" w:color="auto"/>
              <w:right w:val="single" w:sz="6" w:space="0" w:color="auto"/>
            </w:tcBorders>
            <w:tcMar>
              <w:left w:w="90" w:type="dxa"/>
              <w:right w:w="90" w:type="dxa"/>
            </w:tcMar>
          </w:tcPr>
          <w:p w14:paraId="5148F879" w14:textId="77777777" w:rsidR="0045529B" w:rsidRPr="00FD34F2" w:rsidRDefault="0045529B" w:rsidP="00FD34F2">
            <w:pPr>
              <w:rPr>
                <w:b/>
                <w:bCs/>
              </w:rPr>
            </w:pPr>
            <w:bookmarkStart w:id="57" w:name="_Toc218514869"/>
            <w:r w:rsidRPr="00FD34F2">
              <w:rPr>
                <w:b/>
                <w:bCs/>
              </w:rPr>
              <w:t>Remarks</w:t>
            </w:r>
            <w:bookmarkEnd w:id="57"/>
          </w:p>
          <w:p w14:paraId="77710B1A" w14:textId="77777777" w:rsidR="0045529B" w:rsidRPr="004C4D35" w:rsidRDefault="0045529B" w:rsidP="0045529B">
            <w:pPr>
              <w:rPr>
                <w:rFonts w:ascii="Calibri" w:eastAsia="Calibri" w:hAnsi="Calibri" w:cs="Calibri"/>
              </w:rPr>
            </w:pPr>
            <w:r w:rsidRPr="00693E80">
              <w:rPr>
                <w:rFonts w:ascii="Calibri" w:eastAsia="Calibri" w:hAnsi="Calibri" w:cs="Calibri"/>
              </w:rPr>
              <w:t>Clinicians</w:t>
            </w:r>
            <w:r w:rsidRPr="004C4D35">
              <w:rPr>
                <w:rFonts w:ascii="Calibri" w:eastAsia="Calibri" w:hAnsi="Calibri" w:cs="Calibri"/>
              </w:rPr>
              <w:t xml:space="preserve"> are advised to discuss the following elements with individuals taking Doxy-PEP:</w:t>
            </w:r>
          </w:p>
          <w:p w14:paraId="46C3D9C8" w14:textId="77777777" w:rsidR="0045529B" w:rsidRPr="004C4D35" w:rsidRDefault="0045529B" w:rsidP="0045529B">
            <w:pPr>
              <w:pStyle w:val="ListParagraph"/>
              <w:numPr>
                <w:ilvl w:val="0"/>
                <w:numId w:val="40"/>
              </w:numPr>
              <w:rPr>
                <w:rFonts w:ascii="Calibri" w:eastAsia="Calibri" w:hAnsi="Calibri" w:cs="Calibri"/>
                <w:color w:val="000000" w:themeColor="text1"/>
              </w:rPr>
            </w:pPr>
            <w:r w:rsidRPr="004C4D35">
              <w:rPr>
                <w:rFonts w:ascii="Calibri" w:eastAsia="Calibri" w:hAnsi="Calibri" w:cs="Calibri"/>
                <w:color w:val="000000" w:themeColor="text1"/>
              </w:rPr>
              <w:t>Existing evidence raises concerns about the potential of Doxy-PEP to contribute to the acceleration of tetracycline resistance in NG and indicates that any initial benefit for the prevention of NG may not be sustained over the long term.</w:t>
            </w:r>
          </w:p>
          <w:p w14:paraId="6286B8E0" w14:textId="77777777" w:rsidR="0045529B" w:rsidRPr="004C4D35" w:rsidRDefault="0045529B" w:rsidP="0045529B">
            <w:pPr>
              <w:pStyle w:val="ListParagraph"/>
              <w:numPr>
                <w:ilvl w:val="0"/>
                <w:numId w:val="40"/>
              </w:numPr>
              <w:rPr>
                <w:rFonts w:ascii="Calibri" w:eastAsia="Calibri" w:hAnsi="Calibri" w:cs="Calibri"/>
                <w:color w:val="000000" w:themeColor="text1"/>
              </w:rPr>
            </w:pPr>
            <w:r w:rsidRPr="004C4D35">
              <w:rPr>
                <w:rFonts w:ascii="Calibri" w:eastAsia="Calibri" w:hAnsi="Calibri" w:cs="Calibri"/>
                <w:color w:val="000000" w:themeColor="text1"/>
              </w:rPr>
              <w:t>Globally, high antimicrobial use among GBMSM has been linked to a disproportionate burden of emergent and circulating AMR pathogens. Extra consideration should be given to prudent use of antimicrobials with this population.</w:t>
            </w:r>
          </w:p>
          <w:p w14:paraId="656F66CE" w14:textId="77777777" w:rsidR="0045529B" w:rsidRPr="004C4D35" w:rsidRDefault="0045529B" w:rsidP="0045529B">
            <w:pPr>
              <w:pStyle w:val="ListParagraph"/>
              <w:numPr>
                <w:ilvl w:val="0"/>
                <w:numId w:val="40"/>
              </w:numPr>
              <w:rPr>
                <w:rFonts w:ascii="Calibri" w:eastAsia="Calibri" w:hAnsi="Calibri" w:cs="Calibri"/>
                <w:color w:val="000000" w:themeColor="text1"/>
              </w:rPr>
            </w:pPr>
            <w:r w:rsidRPr="004C4D35">
              <w:rPr>
                <w:rFonts w:ascii="Calibri" w:eastAsia="Calibri" w:hAnsi="Calibri" w:cs="Calibri"/>
                <w:color w:val="000000" w:themeColor="text1"/>
              </w:rPr>
              <w:lastRenderedPageBreak/>
              <w:t xml:space="preserve">To date, tetracycline resistance in </w:t>
            </w:r>
            <w:r w:rsidRPr="00D57D40">
              <w:rPr>
                <w:rFonts w:ascii="Calibri" w:eastAsia="Calibri" w:hAnsi="Calibri" w:cs="Calibri"/>
                <w:i/>
                <w:iCs/>
                <w:color w:val="000000" w:themeColor="text1"/>
              </w:rPr>
              <w:t>Chlamydia trachomatis</w:t>
            </w:r>
            <w:r w:rsidRPr="004C4D35">
              <w:rPr>
                <w:rFonts w:ascii="Calibri" w:eastAsia="Calibri" w:hAnsi="Calibri" w:cs="Calibri"/>
                <w:color w:val="000000" w:themeColor="text1"/>
              </w:rPr>
              <w:t xml:space="preserve"> and </w:t>
            </w:r>
            <w:r w:rsidRPr="00D57D40">
              <w:rPr>
                <w:rFonts w:ascii="Calibri" w:eastAsia="Calibri" w:hAnsi="Calibri" w:cs="Calibri"/>
                <w:i/>
                <w:iCs/>
                <w:color w:val="000000" w:themeColor="text1"/>
              </w:rPr>
              <w:t>Treponema pallidum</w:t>
            </w:r>
            <w:r w:rsidRPr="004C4D35">
              <w:rPr>
                <w:rFonts w:ascii="Calibri" w:eastAsia="Calibri" w:hAnsi="Calibri" w:cs="Calibri"/>
                <w:color w:val="000000" w:themeColor="text1"/>
              </w:rPr>
              <w:t xml:space="preserve"> subspecies pallidum has not been documented in humans, although TP has developed antimicrobial resistance to other antibiotic classes.</w:t>
            </w:r>
          </w:p>
          <w:p w14:paraId="7DC7C938" w14:textId="77777777" w:rsidR="0045529B" w:rsidRPr="004C4D35" w:rsidRDefault="0045529B" w:rsidP="0045529B">
            <w:pPr>
              <w:pStyle w:val="ListParagraph"/>
              <w:numPr>
                <w:ilvl w:val="0"/>
                <w:numId w:val="40"/>
              </w:numPr>
              <w:rPr>
                <w:rFonts w:ascii="Calibri" w:eastAsia="Calibri" w:hAnsi="Calibri" w:cs="Calibri"/>
                <w:color w:val="000000" w:themeColor="text1"/>
              </w:rPr>
            </w:pPr>
            <w:r w:rsidRPr="004C4D35">
              <w:rPr>
                <w:rFonts w:ascii="Calibri" w:eastAsia="Calibri" w:hAnsi="Calibri" w:cs="Calibri"/>
                <w:color w:val="000000" w:themeColor="text1"/>
              </w:rPr>
              <w:t xml:space="preserve">Use of Doxy-PEP may be linked to increased rates of tetracycline resistance in </w:t>
            </w:r>
            <w:r w:rsidRPr="00A43207">
              <w:rPr>
                <w:rFonts w:ascii="Calibri" w:eastAsia="Calibri" w:hAnsi="Calibri" w:cs="Calibri"/>
                <w:i/>
                <w:iCs/>
                <w:color w:val="000000" w:themeColor="text1"/>
              </w:rPr>
              <w:t>Staphylococcus aureus</w:t>
            </w:r>
            <w:r w:rsidRPr="004C4D35">
              <w:rPr>
                <w:rFonts w:ascii="Calibri" w:eastAsia="Calibri" w:hAnsi="Calibri" w:cs="Calibri"/>
                <w:color w:val="000000" w:themeColor="text1"/>
              </w:rPr>
              <w:t>.</w:t>
            </w:r>
          </w:p>
          <w:p w14:paraId="747F681F" w14:textId="77777777" w:rsidR="0045529B" w:rsidRPr="004C4D35" w:rsidRDefault="0045529B" w:rsidP="0045529B">
            <w:pPr>
              <w:pStyle w:val="ListParagraph"/>
              <w:numPr>
                <w:ilvl w:val="0"/>
                <w:numId w:val="40"/>
              </w:numPr>
              <w:rPr>
                <w:rFonts w:ascii="Calibri" w:eastAsia="Calibri" w:hAnsi="Calibri" w:cs="Calibri"/>
              </w:rPr>
            </w:pPr>
            <w:r w:rsidRPr="004C4D35">
              <w:rPr>
                <w:rFonts w:ascii="Calibri" w:eastAsia="Calibri" w:hAnsi="Calibri" w:cs="Calibri"/>
                <w:color w:val="000000" w:themeColor="text1"/>
              </w:rPr>
              <w:t>Clinicians should inform patients that only doxycycline has been proven effective for the prevention of bacterial STI. Individuals should be discouraged from taking other classes of antibiotics as prophylaxis to prevent these STI.</w:t>
            </w:r>
          </w:p>
        </w:tc>
      </w:tr>
    </w:tbl>
    <w:bookmarkEnd w:id="56"/>
    <w:p w14:paraId="2B04EBF3" w14:textId="77777777" w:rsidR="0045529B" w:rsidRPr="0038470E" w:rsidRDefault="0045529B" w:rsidP="0045529B">
      <w:pPr>
        <w:keepNext/>
        <w:keepLines/>
        <w:spacing w:before="240" w:line="278" w:lineRule="auto"/>
        <w:rPr>
          <w:rFonts w:ascii="Calibri" w:eastAsia="Calibri" w:hAnsi="Calibri" w:cs="Calibri"/>
          <w:b/>
          <w:bCs/>
          <w:color w:val="365F91" w:themeColor="accent1" w:themeShade="BF"/>
          <w:sz w:val="28"/>
          <w:szCs w:val="28"/>
        </w:rPr>
      </w:pPr>
      <w:r w:rsidRPr="0038470E">
        <w:rPr>
          <w:rFonts w:ascii="Calibri" w:eastAsia="Calibri" w:hAnsi="Calibri" w:cs="Calibri"/>
          <w:b/>
          <w:bCs/>
          <w:color w:val="365F91" w:themeColor="accent1" w:themeShade="BF"/>
          <w:sz w:val="28"/>
          <w:szCs w:val="28"/>
        </w:rPr>
        <w:lastRenderedPageBreak/>
        <w:t xml:space="preserve">Contact us for full guidance </w:t>
      </w:r>
    </w:p>
    <w:p w14:paraId="76DC9759" w14:textId="77777777" w:rsidR="0045529B" w:rsidRPr="00047EDF" w:rsidRDefault="0045529B" w:rsidP="0045529B">
      <w:pPr>
        <w:keepNext/>
        <w:keepLines/>
        <w:spacing w:line="278" w:lineRule="auto"/>
        <w:rPr>
          <w:rFonts w:ascii="Calibri" w:eastAsia="Calibri" w:hAnsi="Calibri" w:cs="Calibri"/>
        </w:rPr>
      </w:pPr>
      <w:r w:rsidRPr="00602AE7">
        <w:rPr>
          <w:rFonts w:ascii="Calibri" w:eastAsia="Calibri" w:hAnsi="Calibri" w:cs="Calibri"/>
        </w:rPr>
        <w:t xml:space="preserve">For the complete guidance on our recommendations on the use of prophylactic doxycycline for the prevention of bacterial STI (chlamydia, gonorrhea, syphilis), contact us at </w:t>
      </w:r>
      <w:hyperlink r:id="rId22" w:history="1">
        <w:r w:rsidRPr="00DC2518">
          <w:rPr>
            <w:rStyle w:val="Hyperlink"/>
            <w:rFonts w:ascii="Calibri" w:eastAsia="Calibri" w:hAnsi="Calibri" w:cs="Calibri"/>
          </w:rPr>
          <w:t>sti.secretariat-its@phac-aspc.gc.ca</w:t>
        </w:r>
      </w:hyperlink>
      <w:r w:rsidRPr="00602AE7">
        <w:rPr>
          <w:rFonts w:ascii="Calibri" w:eastAsia="Calibri" w:hAnsi="Calibri" w:cs="Calibri"/>
        </w:rPr>
        <w:t>.</w:t>
      </w:r>
    </w:p>
    <w:p w14:paraId="63662C29" w14:textId="77777777" w:rsidR="0045529B" w:rsidRPr="0045529B" w:rsidRDefault="0045529B" w:rsidP="0045529B"/>
    <w:sectPr w:rsidR="0045529B" w:rsidRPr="0045529B" w:rsidSect="00157672">
      <w:headerReference w:type="default" r:id="rId23"/>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E060" w14:textId="77777777" w:rsidR="00DC6155" w:rsidRDefault="00DC6155" w:rsidP="00B81F55">
      <w:pPr>
        <w:spacing w:after="0" w:line="240" w:lineRule="auto"/>
      </w:pPr>
      <w:r>
        <w:separator/>
      </w:r>
    </w:p>
  </w:endnote>
  <w:endnote w:type="continuationSeparator" w:id="0">
    <w:p w14:paraId="191133D7" w14:textId="77777777" w:rsidR="00DC6155" w:rsidRDefault="00DC6155" w:rsidP="00B8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Bold">
    <w:altName w:val="Times New Roman"/>
    <w:panose1 w:val="00000000000000000000"/>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937405"/>
      <w:docPartObj>
        <w:docPartGallery w:val="Page Numbers (Bottom of Page)"/>
        <w:docPartUnique/>
      </w:docPartObj>
    </w:sdtPr>
    <w:sdtEndPr>
      <w:rPr>
        <w:noProof/>
      </w:rPr>
    </w:sdtEndPr>
    <w:sdtContent>
      <w:p w14:paraId="56FAC911" w14:textId="77777777" w:rsidR="00660D91" w:rsidRDefault="00660D91">
        <w:pPr>
          <w:pStyle w:val="Footer"/>
          <w:jc w:val="right"/>
        </w:pPr>
        <w:r>
          <w:fldChar w:fldCharType="begin"/>
        </w:r>
        <w:r>
          <w:instrText xml:space="preserve"> PAGE   \* MERGEFORMAT </w:instrText>
        </w:r>
        <w:r>
          <w:fldChar w:fldCharType="separate"/>
        </w:r>
        <w:r w:rsidR="00771EB2">
          <w:rPr>
            <w:noProof/>
          </w:rPr>
          <w:t>4</w:t>
        </w:r>
        <w:r>
          <w:rPr>
            <w:noProof/>
          </w:rPr>
          <w:fldChar w:fldCharType="end"/>
        </w:r>
      </w:p>
    </w:sdtContent>
  </w:sdt>
  <w:p w14:paraId="6E007DF8" w14:textId="6BF73F71" w:rsidR="00E81944" w:rsidRDefault="00023621">
    <w:pPr>
      <w:pStyle w:val="Footer"/>
    </w:pP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7D17" w14:textId="77777777" w:rsidR="00DC6155" w:rsidRDefault="00DC6155" w:rsidP="00B81F55">
      <w:pPr>
        <w:spacing w:after="0" w:line="240" w:lineRule="auto"/>
      </w:pPr>
      <w:r>
        <w:separator/>
      </w:r>
    </w:p>
  </w:footnote>
  <w:footnote w:type="continuationSeparator" w:id="0">
    <w:p w14:paraId="22CD3412" w14:textId="77777777" w:rsidR="00DC6155" w:rsidRDefault="00DC6155" w:rsidP="00B8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3570A4E" w14:textId="77777777" w:rsidR="00162CF9" w:rsidRDefault="00162CF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162CF9">
          <w:rPr>
            <w:rFonts w:cs="Times New Roman"/>
            <w:i/>
            <w:sz w:val="32"/>
            <w:szCs w:val="32"/>
          </w:rPr>
          <w:t>Chlamydia trachomatis</w:t>
        </w:r>
      </w:p>
    </w:sdtContent>
  </w:sdt>
  <w:p w14:paraId="5D331399" w14:textId="77777777" w:rsidR="00E81944" w:rsidRDefault="00E81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1C"/>
    <w:multiLevelType w:val="hybridMultilevel"/>
    <w:tmpl w:val="E7F89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17CD6"/>
    <w:multiLevelType w:val="hybridMultilevel"/>
    <w:tmpl w:val="03AEA084"/>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6F50"/>
    <w:multiLevelType w:val="hybridMultilevel"/>
    <w:tmpl w:val="403215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E606FA"/>
    <w:multiLevelType w:val="multilevel"/>
    <w:tmpl w:val="B74E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B0D32"/>
    <w:multiLevelType w:val="hybridMultilevel"/>
    <w:tmpl w:val="C3E6E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1D109D"/>
    <w:multiLevelType w:val="hybridMultilevel"/>
    <w:tmpl w:val="1324BA88"/>
    <w:lvl w:ilvl="0" w:tplc="485690E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C51C2"/>
    <w:multiLevelType w:val="hybridMultilevel"/>
    <w:tmpl w:val="A288CB5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66F47EE"/>
    <w:multiLevelType w:val="hybridMultilevel"/>
    <w:tmpl w:val="8CCA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26646"/>
    <w:multiLevelType w:val="multilevel"/>
    <w:tmpl w:val="D20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159C8"/>
    <w:multiLevelType w:val="multilevel"/>
    <w:tmpl w:val="1D06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A5B2D"/>
    <w:multiLevelType w:val="multilevel"/>
    <w:tmpl w:val="40A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90E96"/>
    <w:multiLevelType w:val="multilevel"/>
    <w:tmpl w:val="819CA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55F76"/>
    <w:multiLevelType w:val="hybridMultilevel"/>
    <w:tmpl w:val="FB6AA8DE"/>
    <w:lvl w:ilvl="0" w:tplc="10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0366F"/>
    <w:multiLevelType w:val="multilevel"/>
    <w:tmpl w:val="FCA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2143B"/>
    <w:multiLevelType w:val="multilevel"/>
    <w:tmpl w:val="9A6A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255B5"/>
    <w:multiLevelType w:val="multilevel"/>
    <w:tmpl w:val="A6A6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446DB"/>
    <w:multiLevelType w:val="hybridMultilevel"/>
    <w:tmpl w:val="26DE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00F71"/>
    <w:multiLevelType w:val="hybridMultilevel"/>
    <w:tmpl w:val="27C4EB2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17225B7"/>
    <w:multiLevelType w:val="hybridMultilevel"/>
    <w:tmpl w:val="2BFA8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D666DA"/>
    <w:multiLevelType w:val="multilevel"/>
    <w:tmpl w:val="2E30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C2FC4"/>
    <w:multiLevelType w:val="hybridMultilevel"/>
    <w:tmpl w:val="EDEE495A"/>
    <w:lvl w:ilvl="0" w:tplc="24E491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60D5259"/>
    <w:multiLevelType w:val="hybridMultilevel"/>
    <w:tmpl w:val="1C761B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EE10D4"/>
    <w:multiLevelType w:val="multilevel"/>
    <w:tmpl w:val="A944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566F67"/>
    <w:multiLevelType w:val="hybridMultilevel"/>
    <w:tmpl w:val="2B6EA81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8B65FD2"/>
    <w:multiLevelType w:val="hybridMultilevel"/>
    <w:tmpl w:val="98FC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813BB2"/>
    <w:multiLevelType w:val="multilevel"/>
    <w:tmpl w:val="BA8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15F3F"/>
    <w:multiLevelType w:val="multilevel"/>
    <w:tmpl w:val="7F90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0E34C1"/>
    <w:multiLevelType w:val="hybridMultilevel"/>
    <w:tmpl w:val="4120EF8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37B158B"/>
    <w:multiLevelType w:val="hybridMultilevel"/>
    <w:tmpl w:val="35CE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62610"/>
    <w:multiLevelType w:val="hybridMultilevel"/>
    <w:tmpl w:val="A8B4A0AA"/>
    <w:lvl w:ilvl="0" w:tplc="DBFA81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0510AB"/>
    <w:multiLevelType w:val="multilevel"/>
    <w:tmpl w:val="2F14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7835D8"/>
    <w:multiLevelType w:val="hybridMultilevel"/>
    <w:tmpl w:val="ECE0F1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F67F05"/>
    <w:multiLevelType w:val="multilevel"/>
    <w:tmpl w:val="864E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FF0322"/>
    <w:multiLevelType w:val="hybridMultilevel"/>
    <w:tmpl w:val="D57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86CE7"/>
    <w:multiLevelType w:val="hybridMultilevel"/>
    <w:tmpl w:val="3CD647B4"/>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967C1"/>
    <w:multiLevelType w:val="multilevel"/>
    <w:tmpl w:val="30D2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E6FE1"/>
    <w:multiLevelType w:val="hybridMultilevel"/>
    <w:tmpl w:val="B4CA2900"/>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37" w15:restartNumberingAfterBreak="0">
    <w:nsid w:val="6C182D03"/>
    <w:multiLevelType w:val="hybridMultilevel"/>
    <w:tmpl w:val="1CDC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36225"/>
    <w:multiLevelType w:val="hybridMultilevel"/>
    <w:tmpl w:val="082CC54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6E0507E7"/>
    <w:multiLevelType w:val="hybridMultilevel"/>
    <w:tmpl w:val="CC5C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C1C5F"/>
    <w:multiLevelType w:val="hybridMultilevel"/>
    <w:tmpl w:val="3F3EC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8A4149"/>
    <w:multiLevelType w:val="multilevel"/>
    <w:tmpl w:val="89A8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C1DC6"/>
    <w:multiLevelType w:val="hybridMultilevel"/>
    <w:tmpl w:val="D1EE3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414F4E"/>
    <w:multiLevelType w:val="hybridMultilevel"/>
    <w:tmpl w:val="413E5590"/>
    <w:lvl w:ilvl="0" w:tplc="DBFA81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5673384">
    <w:abstractNumId w:val="17"/>
  </w:num>
  <w:num w:numId="2" w16cid:durableId="676201909">
    <w:abstractNumId w:val="38"/>
  </w:num>
  <w:num w:numId="3" w16cid:durableId="1374648367">
    <w:abstractNumId w:val="31"/>
  </w:num>
  <w:num w:numId="4" w16cid:durableId="1722366317">
    <w:abstractNumId w:val="6"/>
  </w:num>
  <w:num w:numId="5" w16cid:durableId="851187517">
    <w:abstractNumId w:val="21"/>
  </w:num>
  <w:num w:numId="6" w16cid:durableId="1249315984">
    <w:abstractNumId w:val="34"/>
  </w:num>
  <w:num w:numId="7" w16cid:durableId="1459449078">
    <w:abstractNumId w:val="12"/>
  </w:num>
  <w:num w:numId="8" w16cid:durableId="2086150282">
    <w:abstractNumId w:val="7"/>
  </w:num>
  <w:num w:numId="9" w16cid:durableId="47146397">
    <w:abstractNumId w:val="29"/>
  </w:num>
  <w:num w:numId="10" w16cid:durableId="32585251">
    <w:abstractNumId w:val="15"/>
  </w:num>
  <w:num w:numId="11" w16cid:durableId="1144815580">
    <w:abstractNumId w:val="14"/>
  </w:num>
  <w:num w:numId="12" w16cid:durableId="1758288755">
    <w:abstractNumId w:val="3"/>
  </w:num>
  <w:num w:numId="13" w16cid:durableId="190917615">
    <w:abstractNumId w:val="30"/>
  </w:num>
  <w:num w:numId="14" w16cid:durableId="703600109">
    <w:abstractNumId w:val="26"/>
  </w:num>
  <w:num w:numId="15" w16cid:durableId="842352268">
    <w:abstractNumId w:val="35"/>
  </w:num>
  <w:num w:numId="16" w16cid:durableId="1250038794">
    <w:abstractNumId w:val="25"/>
  </w:num>
  <w:num w:numId="17" w16cid:durableId="177547677">
    <w:abstractNumId w:val="10"/>
  </w:num>
  <w:num w:numId="18" w16cid:durableId="934900697">
    <w:abstractNumId w:val="19"/>
  </w:num>
  <w:num w:numId="19" w16cid:durableId="1995447967">
    <w:abstractNumId w:val="11"/>
  </w:num>
  <w:num w:numId="20" w16cid:durableId="1543862518">
    <w:abstractNumId w:val="22"/>
  </w:num>
  <w:num w:numId="21" w16cid:durableId="30738172">
    <w:abstractNumId w:val="32"/>
  </w:num>
  <w:num w:numId="22" w16cid:durableId="1138378810">
    <w:abstractNumId w:val="9"/>
  </w:num>
  <w:num w:numId="23" w16cid:durableId="130252251">
    <w:abstractNumId w:val="13"/>
  </w:num>
  <w:num w:numId="24" w16cid:durableId="2013290551">
    <w:abstractNumId w:val="8"/>
  </w:num>
  <w:num w:numId="25" w16cid:durableId="2088113033">
    <w:abstractNumId w:val="41"/>
  </w:num>
  <w:num w:numId="26" w16cid:durableId="882324520">
    <w:abstractNumId w:val="4"/>
  </w:num>
  <w:num w:numId="27" w16cid:durableId="1748380978">
    <w:abstractNumId w:val="0"/>
  </w:num>
  <w:num w:numId="28" w16cid:durableId="89595251">
    <w:abstractNumId w:val="37"/>
  </w:num>
  <w:num w:numId="29" w16cid:durableId="861750662">
    <w:abstractNumId w:val="40"/>
  </w:num>
  <w:num w:numId="30" w16cid:durableId="1681005156">
    <w:abstractNumId w:val="18"/>
  </w:num>
  <w:num w:numId="31" w16cid:durableId="849413266">
    <w:abstractNumId w:val="42"/>
  </w:num>
  <w:num w:numId="32" w16cid:durableId="1313677119">
    <w:abstractNumId w:val="39"/>
  </w:num>
  <w:num w:numId="33" w16cid:durableId="754516035">
    <w:abstractNumId w:val="28"/>
  </w:num>
  <w:num w:numId="34" w16cid:durableId="363019996">
    <w:abstractNumId w:val="24"/>
  </w:num>
  <w:num w:numId="35" w16cid:durableId="1627732376">
    <w:abstractNumId w:val="16"/>
  </w:num>
  <w:num w:numId="36" w16cid:durableId="365326089">
    <w:abstractNumId w:val="5"/>
  </w:num>
  <w:num w:numId="37" w16cid:durableId="243226199">
    <w:abstractNumId w:val="43"/>
  </w:num>
  <w:num w:numId="38" w16cid:durableId="1503859302">
    <w:abstractNumId w:val="27"/>
  </w:num>
  <w:num w:numId="39" w16cid:durableId="1811358977">
    <w:abstractNumId w:val="33"/>
  </w:num>
  <w:num w:numId="40" w16cid:durableId="12810414">
    <w:abstractNumId w:val="2"/>
  </w:num>
  <w:num w:numId="41" w16cid:durableId="1218973665">
    <w:abstractNumId w:val="36"/>
  </w:num>
  <w:num w:numId="42" w16cid:durableId="1491016211">
    <w:abstractNumId w:val="20"/>
  </w:num>
  <w:num w:numId="43" w16cid:durableId="126582186">
    <w:abstractNumId w:val="23"/>
  </w:num>
  <w:num w:numId="44" w16cid:durableId="77479141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81EAEB-64C4-4F7B-9B8D-B3B75135C071}"/>
    <w:docVar w:name="dgnword-eventsink" w:val="225665024"/>
  </w:docVars>
  <w:rsids>
    <w:rsidRoot w:val="000159DF"/>
    <w:rsid w:val="00010669"/>
    <w:rsid w:val="00014AF3"/>
    <w:rsid w:val="000159DF"/>
    <w:rsid w:val="00020027"/>
    <w:rsid w:val="00023621"/>
    <w:rsid w:val="00036005"/>
    <w:rsid w:val="00051BD4"/>
    <w:rsid w:val="00076689"/>
    <w:rsid w:val="00080F40"/>
    <w:rsid w:val="00086262"/>
    <w:rsid w:val="000B164D"/>
    <w:rsid w:val="000D45FC"/>
    <w:rsid w:val="000E1096"/>
    <w:rsid w:val="000E3203"/>
    <w:rsid w:val="00114037"/>
    <w:rsid w:val="00124342"/>
    <w:rsid w:val="00157672"/>
    <w:rsid w:val="00162CF9"/>
    <w:rsid w:val="00183246"/>
    <w:rsid w:val="00197164"/>
    <w:rsid w:val="001B23A0"/>
    <w:rsid w:val="001B3D4E"/>
    <w:rsid w:val="001B6277"/>
    <w:rsid w:val="001C626B"/>
    <w:rsid w:val="001D5707"/>
    <w:rsid w:val="001F08AA"/>
    <w:rsid w:val="002051B9"/>
    <w:rsid w:val="00217DC3"/>
    <w:rsid w:val="00220D80"/>
    <w:rsid w:val="002427E8"/>
    <w:rsid w:val="002511BD"/>
    <w:rsid w:val="002564B4"/>
    <w:rsid w:val="00280517"/>
    <w:rsid w:val="00295B98"/>
    <w:rsid w:val="002C22DC"/>
    <w:rsid w:val="002C713E"/>
    <w:rsid w:val="002D6191"/>
    <w:rsid w:val="002E5F43"/>
    <w:rsid w:val="0030495E"/>
    <w:rsid w:val="003127C3"/>
    <w:rsid w:val="0033586C"/>
    <w:rsid w:val="00351FC9"/>
    <w:rsid w:val="00352BD2"/>
    <w:rsid w:val="003546FE"/>
    <w:rsid w:val="003675AD"/>
    <w:rsid w:val="00386650"/>
    <w:rsid w:val="003867CA"/>
    <w:rsid w:val="0039603F"/>
    <w:rsid w:val="003A6BAC"/>
    <w:rsid w:val="003C10C3"/>
    <w:rsid w:val="003C4555"/>
    <w:rsid w:val="003C47FE"/>
    <w:rsid w:val="003D16EA"/>
    <w:rsid w:val="003E3751"/>
    <w:rsid w:val="003E78E5"/>
    <w:rsid w:val="00403C02"/>
    <w:rsid w:val="0040460F"/>
    <w:rsid w:val="00405C6D"/>
    <w:rsid w:val="0041123B"/>
    <w:rsid w:val="00436571"/>
    <w:rsid w:val="0045529B"/>
    <w:rsid w:val="004927B6"/>
    <w:rsid w:val="004B0EB3"/>
    <w:rsid w:val="004B71B1"/>
    <w:rsid w:val="004F5D92"/>
    <w:rsid w:val="0050744F"/>
    <w:rsid w:val="005114EB"/>
    <w:rsid w:val="00513D3B"/>
    <w:rsid w:val="0053012B"/>
    <w:rsid w:val="00541094"/>
    <w:rsid w:val="005527BC"/>
    <w:rsid w:val="00553D66"/>
    <w:rsid w:val="00557231"/>
    <w:rsid w:val="00565C35"/>
    <w:rsid w:val="005722EA"/>
    <w:rsid w:val="00593E45"/>
    <w:rsid w:val="00597E88"/>
    <w:rsid w:val="005C0762"/>
    <w:rsid w:val="005C1B14"/>
    <w:rsid w:val="005C4BC3"/>
    <w:rsid w:val="005E3979"/>
    <w:rsid w:val="005E4A47"/>
    <w:rsid w:val="005E69E2"/>
    <w:rsid w:val="005F4A78"/>
    <w:rsid w:val="00615BFE"/>
    <w:rsid w:val="00616B54"/>
    <w:rsid w:val="00620D06"/>
    <w:rsid w:val="00626718"/>
    <w:rsid w:val="006317C2"/>
    <w:rsid w:val="006362D8"/>
    <w:rsid w:val="0064384D"/>
    <w:rsid w:val="00650C46"/>
    <w:rsid w:val="00660598"/>
    <w:rsid w:val="00660D91"/>
    <w:rsid w:val="00667868"/>
    <w:rsid w:val="00694482"/>
    <w:rsid w:val="006A0C80"/>
    <w:rsid w:val="006C24DC"/>
    <w:rsid w:val="006D1ADA"/>
    <w:rsid w:val="006F22B6"/>
    <w:rsid w:val="006F4AB1"/>
    <w:rsid w:val="006F7421"/>
    <w:rsid w:val="006F7E18"/>
    <w:rsid w:val="00707CD1"/>
    <w:rsid w:val="007113DE"/>
    <w:rsid w:val="00724444"/>
    <w:rsid w:val="007318AE"/>
    <w:rsid w:val="007323A9"/>
    <w:rsid w:val="00745864"/>
    <w:rsid w:val="00771EB2"/>
    <w:rsid w:val="007722B2"/>
    <w:rsid w:val="0077664D"/>
    <w:rsid w:val="00792FE3"/>
    <w:rsid w:val="007937DE"/>
    <w:rsid w:val="00794EE4"/>
    <w:rsid w:val="007A07BF"/>
    <w:rsid w:val="007C3636"/>
    <w:rsid w:val="007D6F19"/>
    <w:rsid w:val="007E2B10"/>
    <w:rsid w:val="007E71A9"/>
    <w:rsid w:val="007F32AD"/>
    <w:rsid w:val="008025A9"/>
    <w:rsid w:val="00806EF7"/>
    <w:rsid w:val="00811754"/>
    <w:rsid w:val="0083304F"/>
    <w:rsid w:val="0084226F"/>
    <w:rsid w:val="0084671C"/>
    <w:rsid w:val="00870880"/>
    <w:rsid w:val="00877072"/>
    <w:rsid w:val="00880851"/>
    <w:rsid w:val="00886C5D"/>
    <w:rsid w:val="008A6F7A"/>
    <w:rsid w:val="008D138C"/>
    <w:rsid w:val="008E075F"/>
    <w:rsid w:val="008E4BA3"/>
    <w:rsid w:val="00915C67"/>
    <w:rsid w:val="009228D9"/>
    <w:rsid w:val="009372CE"/>
    <w:rsid w:val="00937789"/>
    <w:rsid w:val="00941C34"/>
    <w:rsid w:val="00952DED"/>
    <w:rsid w:val="009865A3"/>
    <w:rsid w:val="009C4C60"/>
    <w:rsid w:val="009C5A12"/>
    <w:rsid w:val="009D1F0E"/>
    <w:rsid w:val="009E3367"/>
    <w:rsid w:val="009F15D0"/>
    <w:rsid w:val="009F665D"/>
    <w:rsid w:val="009F707B"/>
    <w:rsid w:val="00A024DA"/>
    <w:rsid w:val="00A02ADD"/>
    <w:rsid w:val="00A067BD"/>
    <w:rsid w:val="00A17F9C"/>
    <w:rsid w:val="00A524C6"/>
    <w:rsid w:val="00A6721F"/>
    <w:rsid w:val="00A74C88"/>
    <w:rsid w:val="00A77D69"/>
    <w:rsid w:val="00A8175C"/>
    <w:rsid w:val="00A901D2"/>
    <w:rsid w:val="00AB4D5F"/>
    <w:rsid w:val="00AC2A2E"/>
    <w:rsid w:val="00AD09A4"/>
    <w:rsid w:val="00AD1A9A"/>
    <w:rsid w:val="00B114E9"/>
    <w:rsid w:val="00B42A04"/>
    <w:rsid w:val="00B567D7"/>
    <w:rsid w:val="00B81F55"/>
    <w:rsid w:val="00B86A4F"/>
    <w:rsid w:val="00B87E65"/>
    <w:rsid w:val="00B90030"/>
    <w:rsid w:val="00BA209D"/>
    <w:rsid w:val="00BA7EB9"/>
    <w:rsid w:val="00BD0CE1"/>
    <w:rsid w:val="00BD5E41"/>
    <w:rsid w:val="00BD648B"/>
    <w:rsid w:val="00BE0FC0"/>
    <w:rsid w:val="00BE7163"/>
    <w:rsid w:val="00C04CCA"/>
    <w:rsid w:val="00C10E1F"/>
    <w:rsid w:val="00C478FA"/>
    <w:rsid w:val="00C523E6"/>
    <w:rsid w:val="00C6418F"/>
    <w:rsid w:val="00C67A2A"/>
    <w:rsid w:val="00C818DB"/>
    <w:rsid w:val="00C8365B"/>
    <w:rsid w:val="00C85753"/>
    <w:rsid w:val="00C91998"/>
    <w:rsid w:val="00C96EDF"/>
    <w:rsid w:val="00CA7409"/>
    <w:rsid w:val="00CB4AF6"/>
    <w:rsid w:val="00CD1172"/>
    <w:rsid w:val="00CD6EF8"/>
    <w:rsid w:val="00CE4E9E"/>
    <w:rsid w:val="00CF47A7"/>
    <w:rsid w:val="00D03922"/>
    <w:rsid w:val="00D11E5B"/>
    <w:rsid w:val="00D135DF"/>
    <w:rsid w:val="00D13EA9"/>
    <w:rsid w:val="00D426C3"/>
    <w:rsid w:val="00D851D3"/>
    <w:rsid w:val="00D85DC5"/>
    <w:rsid w:val="00D93536"/>
    <w:rsid w:val="00DA2AFB"/>
    <w:rsid w:val="00DA45BB"/>
    <w:rsid w:val="00DC6155"/>
    <w:rsid w:val="00DD2F62"/>
    <w:rsid w:val="00DD42AC"/>
    <w:rsid w:val="00DE1BEF"/>
    <w:rsid w:val="00DE2DA8"/>
    <w:rsid w:val="00E05EE3"/>
    <w:rsid w:val="00E302D7"/>
    <w:rsid w:val="00E54545"/>
    <w:rsid w:val="00E61110"/>
    <w:rsid w:val="00E6623A"/>
    <w:rsid w:val="00E6720A"/>
    <w:rsid w:val="00E716CA"/>
    <w:rsid w:val="00E731F2"/>
    <w:rsid w:val="00E81944"/>
    <w:rsid w:val="00E8431C"/>
    <w:rsid w:val="00EB58B2"/>
    <w:rsid w:val="00EB6C24"/>
    <w:rsid w:val="00ED740A"/>
    <w:rsid w:val="00EE3FF1"/>
    <w:rsid w:val="00EE7ECB"/>
    <w:rsid w:val="00EF2916"/>
    <w:rsid w:val="00F035B4"/>
    <w:rsid w:val="00F04E06"/>
    <w:rsid w:val="00F16D7D"/>
    <w:rsid w:val="00F5041C"/>
    <w:rsid w:val="00F539BA"/>
    <w:rsid w:val="00F57758"/>
    <w:rsid w:val="00F75A91"/>
    <w:rsid w:val="00F76369"/>
    <w:rsid w:val="00F91746"/>
    <w:rsid w:val="00F94438"/>
    <w:rsid w:val="00F96166"/>
    <w:rsid w:val="00FB08E4"/>
    <w:rsid w:val="00FC2FAF"/>
    <w:rsid w:val="00FD34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58B35"/>
  <w15:docId w15:val="{D0BBF21C-5902-47AD-A48B-A4410A8C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D9"/>
    <w:rPr>
      <w:sz w:val="24"/>
    </w:rPr>
  </w:style>
  <w:style w:type="paragraph" w:styleId="Heading1">
    <w:name w:val="heading 1"/>
    <w:basedOn w:val="Normal"/>
    <w:next w:val="Normal"/>
    <w:link w:val="Heading1Char"/>
    <w:autoRedefine/>
    <w:uiPriority w:val="9"/>
    <w:qFormat/>
    <w:rsid w:val="00FD34F2"/>
    <w:pPr>
      <w:keepNext/>
      <w:keepLines/>
      <w:tabs>
        <w:tab w:val="left" w:pos="1260"/>
      </w:tabs>
      <w:spacing w:after="0"/>
      <w:outlineLvl w:val="0"/>
    </w:pPr>
    <w:rPr>
      <w:rFonts w:eastAsiaTheme="majorEastAsia" w:cstheme="minorHAnsi"/>
      <w:b/>
      <w:bCs/>
      <w:sz w:val="32"/>
      <w:szCs w:val="32"/>
    </w:rPr>
  </w:style>
  <w:style w:type="paragraph" w:styleId="Heading2">
    <w:name w:val="heading 2"/>
    <w:basedOn w:val="ListParagraph"/>
    <w:next w:val="Normal"/>
    <w:link w:val="Heading2Char"/>
    <w:uiPriority w:val="9"/>
    <w:unhideWhenUsed/>
    <w:qFormat/>
    <w:rsid w:val="00ED740A"/>
    <w:pPr>
      <w:tabs>
        <w:tab w:val="left" w:pos="720"/>
      </w:tabs>
      <w:ind w:hanging="720"/>
      <w:outlineLvl w:val="1"/>
    </w:pPr>
    <w:rPr>
      <w:b/>
      <w:sz w:val="28"/>
      <w:szCs w:val="24"/>
    </w:rPr>
  </w:style>
  <w:style w:type="paragraph" w:styleId="Heading3">
    <w:name w:val="heading 3"/>
    <w:basedOn w:val="Normal"/>
    <w:next w:val="Normal"/>
    <w:link w:val="Heading3Char"/>
    <w:uiPriority w:val="9"/>
    <w:unhideWhenUsed/>
    <w:qFormat/>
    <w:rsid w:val="00ED740A"/>
    <w:pPr>
      <w:keepNext/>
      <w:keepLines/>
      <w:spacing w:before="40" w:after="0"/>
      <w:outlineLvl w:val="2"/>
    </w:pPr>
    <w:rPr>
      <w:rFonts w:asciiTheme="majorHAnsi" w:eastAsia="Times New Roman" w:hAnsiTheme="majorHAnsi" w:cstheme="majorBidi"/>
      <w:b/>
      <w:bCs/>
      <w:szCs w:val="24"/>
      <w:lang w:val="en-US"/>
    </w:rPr>
  </w:style>
  <w:style w:type="paragraph" w:styleId="Heading4">
    <w:name w:val="heading 4"/>
    <w:basedOn w:val="Normal"/>
    <w:next w:val="Normal"/>
    <w:link w:val="Heading4Char"/>
    <w:uiPriority w:val="9"/>
    <w:semiHidden/>
    <w:unhideWhenUsed/>
    <w:qFormat/>
    <w:rsid w:val="00E731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14E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shed list,List Paragraph PHM"/>
    <w:basedOn w:val="Normal"/>
    <w:uiPriority w:val="34"/>
    <w:qFormat/>
    <w:rsid w:val="000159DF"/>
    <w:pPr>
      <w:ind w:left="720"/>
      <w:contextualSpacing/>
    </w:pPr>
  </w:style>
  <w:style w:type="table" w:styleId="TableGrid">
    <w:name w:val="Table Grid"/>
    <w:basedOn w:val="TableNormal"/>
    <w:uiPriority w:val="59"/>
    <w:rsid w:val="000159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1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9DF"/>
  </w:style>
  <w:style w:type="paragraph" w:styleId="Footer">
    <w:name w:val="footer"/>
    <w:basedOn w:val="Normal"/>
    <w:link w:val="FooterChar"/>
    <w:uiPriority w:val="99"/>
    <w:unhideWhenUsed/>
    <w:rsid w:val="0001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9DF"/>
  </w:style>
  <w:style w:type="paragraph" w:customStyle="1" w:styleId="Default">
    <w:name w:val="Default"/>
    <w:rsid w:val="000159D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9DF"/>
    <w:rPr>
      <w:rFonts w:ascii="Tahoma" w:hAnsi="Tahoma" w:cs="Tahoma"/>
      <w:sz w:val="16"/>
      <w:szCs w:val="16"/>
    </w:rPr>
  </w:style>
  <w:style w:type="paragraph" w:customStyle="1" w:styleId="Guidelinebodytext1">
    <w:name w:val="Guideline body text 1"/>
    <w:basedOn w:val="Default"/>
    <w:next w:val="Default"/>
    <w:uiPriority w:val="99"/>
    <w:rsid w:val="0033586C"/>
    <w:rPr>
      <w:color w:val="auto"/>
    </w:rPr>
  </w:style>
  <w:style w:type="paragraph" w:customStyle="1" w:styleId="Guidelinebodytext3">
    <w:name w:val="Guideline body text 3"/>
    <w:basedOn w:val="Default"/>
    <w:next w:val="Default"/>
    <w:uiPriority w:val="99"/>
    <w:rsid w:val="00036005"/>
    <w:rPr>
      <w:color w:val="auto"/>
    </w:rPr>
  </w:style>
  <w:style w:type="paragraph" w:styleId="PlainText">
    <w:name w:val="Plain Text"/>
    <w:basedOn w:val="Default"/>
    <w:next w:val="Default"/>
    <w:link w:val="PlainTextChar"/>
    <w:uiPriority w:val="99"/>
    <w:rsid w:val="001C626B"/>
    <w:rPr>
      <w:color w:val="auto"/>
    </w:rPr>
  </w:style>
  <w:style w:type="character" w:customStyle="1" w:styleId="PlainTextChar">
    <w:name w:val="Plain Text Char"/>
    <w:basedOn w:val="DefaultParagraphFont"/>
    <w:link w:val="PlainText"/>
    <w:uiPriority w:val="99"/>
    <w:rsid w:val="001C626B"/>
    <w:rPr>
      <w:rFonts w:ascii="Arial" w:hAnsi="Arial" w:cs="Arial"/>
      <w:sz w:val="24"/>
      <w:szCs w:val="24"/>
    </w:rPr>
  </w:style>
  <w:style w:type="paragraph" w:customStyle="1" w:styleId="Guidelinebullet2">
    <w:name w:val="Guideline bullet 2"/>
    <w:basedOn w:val="Default"/>
    <w:next w:val="Default"/>
    <w:uiPriority w:val="99"/>
    <w:rsid w:val="004B0EB3"/>
    <w:rPr>
      <w:color w:val="auto"/>
    </w:rPr>
  </w:style>
  <w:style w:type="character" w:customStyle="1" w:styleId="Heading1Char">
    <w:name w:val="Heading 1 Char"/>
    <w:basedOn w:val="DefaultParagraphFont"/>
    <w:link w:val="Heading1"/>
    <w:uiPriority w:val="9"/>
    <w:rsid w:val="00FD34F2"/>
    <w:rPr>
      <w:rFonts w:eastAsiaTheme="majorEastAsia" w:cstheme="minorHAnsi"/>
      <w:b/>
      <w:bCs/>
      <w:sz w:val="32"/>
      <w:szCs w:val="32"/>
    </w:rPr>
  </w:style>
  <w:style w:type="paragraph" w:styleId="TOCHeading">
    <w:name w:val="TOC Heading"/>
    <w:basedOn w:val="Heading1"/>
    <w:next w:val="Normal"/>
    <w:uiPriority w:val="39"/>
    <w:unhideWhenUsed/>
    <w:qFormat/>
    <w:rsid w:val="00162CF9"/>
    <w:pPr>
      <w:outlineLvl w:val="9"/>
    </w:pPr>
    <w:rPr>
      <w:lang w:val="en-US" w:eastAsia="ja-JP"/>
    </w:rPr>
  </w:style>
  <w:style w:type="paragraph" w:styleId="TOC1">
    <w:name w:val="toc 1"/>
    <w:basedOn w:val="Normal"/>
    <w:next w:val="Normal"/>
    <w:autoRedefine/>
    <w:uiPriority w:val="39"/>
    <w:unhideWhenUsed/>
    <w:rsid w:val="00162CF9"/>
    <w:pPr>
      <w:spacing w:after="100"/>
    </w:pPr>
  </w:style>
  <w:style w:type="character" w:styleId="Hyperlink">
    <w:name w:val="Hyperlink"/>
    <w:basedOn w:val="DefaultParagraphFont"/>
    <w:uiPriority w:val="99"/>
    <w:unhideWhenUsed/>
    <w:rsid w:val="00162CF9"/>
    <w:rPr>
      <w:color w:val="0000FF" w:themeColor="hyperlink"/>
      <w:u w:val="single"/>
    </w:rPr>
  </w:style>
  <w:style w:type="character" w:styleId="CommentReference">
    <w:name w:val="annotation reference"/>
    <w:basedOn w:val="DefaultParagraphFont"/>
    <w:uiPriority w:val="99"/>
    <w:semiHidden/>
    <w:unhideWhenUsed/>
    <w:rsid w:val="00A067BD"/>
    <w:rPr>
      <w:sz w:val="16"/>
      <w:szCs w:val="16"/>
    </w:rPr>
  </w:style>
  <w:style w:type="paragraph" w:styleId="CommentText">
    <w:name w:val="annotation text"/>
    <w:basedOn w:val="Normal"/>
    <w:link w:val="CommentTextChar"/>
    <w:uiPriority w:val="99"/>
    <w:unhideWhenUsed/>
    <w:rsid w:val="00A067BD"/>
    <w:pPr>
      <w:spacing w:line="240" w:lineRule="auto"/>
    </w:pPr>
    <w:rPr>
      <w:sz w:val="20"/>
      <w:szCs w:val="20"/>
    </w:rPr>
  </w:style>
  <w:style w:type="character" w:customStyle="1" w:styleId="CommentTextChar">
    <w:name w:val="Comment Text Char"/>
    <w:basedOn w:val="DefaultParagraphFont"/>
    <w:link w:val="CommentText"/>
    <w:uiPriority w:val="99"/>
    <w:rsid w:val="00A067BD"/>
    <w:rPr>
      <w:sz w:val="20"/>
      <w:szCs w:val="20"/>
    </w:rPr>
  </w:style>
  <w:style w:type="paragraph" w:styleId="CommentSubject">
    <w:name w:val="annotation subject"/>
    <w:basedOn w:val="CommentText"/>
    <w:next w:val="CommentText"/>
    <w:link w:val="CommentSubjectChar"/>
    <w:uiPriority w:val="99"/>
    <w:semiHidden/>
    <w:unhideWhenUsed/>
    <w:rsid w:val="00A067BD"/>
    <w:rPr>
      <w:b/>
      <w:bCs/>
    </w:rPr>
  </w:style>
  <w:style w:type="character" w:customStyle="1" w:styleId="CommentSubjectChar">
    <w:name w:val="Comment Subject Char"/>
    <w:basedOn w:val="CommentTextChar"/>
    <w:link w:val="CommentSubject"/>
    <w:uiPriority w:val="99"/>
    <w:semiHidden/>
    <w:rsid w:val="00A067BD"/>
    <w:rPr>
      <w:b/>
      <w:bCs/>
      <w:sz w:val="20"/>
      <w:szCs w:val="20"/>
    </w:rPr>
  </w:style>
  <w:style w:type="paragraph" w:styleId="Bibliography">
    <w:name w:val="Bibliography"/>
    <w:basedOn w:val="Normal"/>
    <w:next w:val="Normal"/>
    <w:uiPriority w:val="37"/>
    <w:unhideWhenUsed/>
    <w:rsid w:val="00A067BD"/>
    <w:rPr>
      <w:sz w:val="22"/>
    </w:rPr>
  </w:style>
  <w:style w:type="character" w:styleId="FollowedHyperlink">
    <w:name w:val="FollowedHyperlink"/>
    <w:basedOn w:val="DefaultParagraphFont"/>
    <w:uiPriority w:val="99"/>
    <w:semiHidden/>
    <w:unhideWhenUsed/>
    <w:rsid w:val="005722EA"/>
    <w:rPr>
      <w:color w:val="800080" w:themeColor="followedHyperlink"/>
      <w:u w:val="single"/>
    </w:rPr>
  </w:style>
  <w:style w:type="character" w:styleId="HTMLCite">
    <w:name w:val="HTML Cite"/>
    <w:basedOn w:val="DefaultParagraphFont"/>
    <w:uiPriority w:val="99"/>
    <w:semiHidden/>
    <w:unhideWhenUsed/>
    <w:rsid w:val="00CE4E9E"/>
    <w:rPr>
      <w:i/>
      <w:iCs/>
    </w:rPr>
  </w:style>
  <w:style w:type="character" w:styleId="UnresolvedMention">
    <w:name w:val="Unresolved Mention"/>
    <w:basedOn w:val="DefaultParagraphFont"/>
    <w:uiPriority w:val="99"/>
    <w:semiHidden/>
    <w:unhideWhenUsed/>
    <w:rsid w:val="00886C5D"/>
    <w:rPr>
      <w:color w:val="605E5C"/>
      <w:shd w:val="clear" w:color="auto" w:fill="E1DFDD"/>
    </w:rPr>
  </w:style>
  <w:style w:type="character" w:customStyle="1" w:styleId="Heading3Char">
    <w:name w:val="Heading 3 Char"/>
    <w:basedOn w:val="DefaultParagraphFont"/>
    <w:link w:val="Heading3"/>
    <w:uiPriority w:val="9"/>
    <w:rsid w:val="00ED740A"/>
    <w:rPr>
      <w:rFonts w:asciiTheme="majorHAnsi" w:eastAsia="Times New Roman" w:hAnsiTheme="majorHAnsi" w:cstheme="majorBidi"/>
      <w:b/>
      <w:bCs/>
      <w:sz w:val="24"/>
      <w:szCs w:val="24"/>
      <w:lang w:val="en-US"/>
    </w:rPr>
  </w:style>
  <w:style w:type="character" w:customStyle="1" w:styleId="Heading4Char">
    <w:name w:val="Heading 4 Char"/>
    <w:basedOn w:val="DefaultParagraphFont"/>
    <w:link w:val="Heading4"/>
    <w:uiPriority w:val="9"/>
    <w:semiHidden/>
    <w:rsid w:val="00E731F2"/>
    <w:rPr>
      <w:rFonts w:asciiTheme="majorHAnsi" w:eastAsiaTheme="majorEastAsia" w:hAnsiTheme="majorHAnsi" w:cstheme="majorBidi"/>
      <w:i/>
      <w:iCs/>
      <w:color w:val="365F91" w:themeColor="accent1" w:themeShade="BF"/>
      <w:sz w:val="24"/>
    </w:rPr>
  </w:style>
  <w:style w:type="character" w:customStyle="1" w:styleId="Heading2Char">
    <w:name w:val="Heading 2 Char"/>
    <w:basedOn w:val="DefaultParagraphFont"/>
    <w:link w:val="Heading2"/>
    <w:uiPriority w:val="9"/>
    <w:rsid w:val="00ED740A"/>
    <w:rPr>
      <w:b/>
      <w:sz w:val="28"/>
      <w:szCs w:val="24"/>
    </w:rPr>
  </w:style>
  <w:style w:type="character" w:customStyle="1" w:styleId="Heading5Char">
    <w:name w:val="Heading 5 Char"/>
    <w:basedOn w:val="DefaultParagraphFont"/>
    <w:link w:val="Heading5"/>
    <w:uiPriority w:val="9"/>
    <w:semiHidden/>
    <w:rsid w:val="005114EB"/>
    <w:rPr>
      <w:rFonts w:asciiTheme="majorHAnsi" w:eastAsiaTheme="majorEastAsia" w:hAnsiTheme="majorHAnsi" w:cstheme="majorBidi"/>
      <w:color w:val="365F91" w:themeColor="accent1" w:themeShade="BF"/>
      <w:sz w:val="24"/>
    </w:rPr>
  </w:style>
  <w:style w:type="paragraph" w:styleId="Revision">
    <w:name w:val="Revision"/>
    <w:hidden/>
    <w:uiPriority w:val="99"/>
    <w:semiHidden/>
    <w:rsid w:val="00EB6C24"/>
    <w:pPr>
      <w:spacing w:after="0" w:line="240" w:lineRule="auto"/>
    </w:pPr>
    <w:rPr>
      <w:sz w:val="24"/>
    </w:rPr>
  </w:style>
  <w:style w:type="character" w:styleId="SubtleEmphasis">
    <w:name w:val="Subtle Emphasis"/>
    <w:basedOn w:val="DefaultParagraphFont"/>
    <w:uiPriority w:val="19"/>
    <w:qFormat/>
    <w:rsid w:val="00352BD2"/>
    <w:rPr>
      <w:i/>
      <w:iCs/>
      <w:color w:val="404040" w:themeColor="text1" w:themeTint="BF"/>
    </w:rPr>
  </w:style>
  <w:style w:type="paragraph" w:styleId="TOC2">
    <w:name w:val="toc 2"/>
    <w:basedOn w:val="Normal"/>
    <w:next w:val="Normal"/>
    <w:autoRedefine/>
    <w:uiPriority w:val="39"/>
    <w:unhideWhenUsed/>
    <w:rsid w:val="006362D8"/>
    <w:pPr>
      <w:spacing w:after="100"/>
      <w:ind w:left="240"/>
    </w:pPr>
  </w:style>
  <w:style w:type="character" w:customStyle="1" w:styleId="normaltextrun">
    <w:name w:val="normaltextrun"/>
    <w:basedOn w:val="DefaultParagraphFont"/>
    <w:uiPriority w:val="1"/>
    <w:rsid w:val="0045529B"/>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FD34F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eases.canada.ca/notifiable/charts?c=pl" TargetMode="External"/><Relationship Id="rId13" Type="http://schemas.openxmlformats.org/officeDocument/2006/relationships/hyperlink" Target="https://www.catie.ca/chlamydia" TargetMode="External"/><Relationship Id="rId18" Type="http://schemas.openxmlformats.org/officeDocument/2006/relationships/hyperlink" Target="https://www.canada.ca/en/public-health/services/infectious-diseases/sexual-health-sexually-transmitted-infections/canadian-guideline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inceedwardisland.ca/en/publication/peis-detailed-adult-immunization-schedule" TargetMode="External"/><Relationship Id="rId7" Type="http://schemas.openxmlformats.org/officeDocument/2006/relationships/endnotes" Target="endnotes.xml"/><Relationship Id="rId12" Type="http://schemas.openxmlformats.org/officeDocument/2006/relationships/hyperlink" Target="https://www.canada.ca/en/public-health/services/infectious-diseases/sexual-health-sexually-transmitted-infections/canadian-guidelines/national-advisory-committee-stbbi/recommendations-prophylactic-doxycycline-prevention-bacterial-sti-chlamydia-gonorrhea-syphilis.html" TargetMode="External"/><Relationship Id="rId17" Type="http://schemas.openxmlformats.org/officeDocument/2006/relationships/hyperlink" Target="https://www.canada.ca/en/public-health/services/infectious-diseases/sexual-health-sexually-transmitted-infections/reports-publication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nada.ca/en/public-health/services/diseases/chlamydia/national-case-definition.html" TargetMode="External"/><Relationship Id="rId20" Type="http://schemas.openxmlformats.org/officeDocument/2006/relationships/hyperlink" Target="https://www.who.int/news-room/fact-sheets/detail/chlamy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public-health/services/infectious-diseases/sexual-health-sexually-transmitted-infections/canadian-guidelines/sexually-transmitted-infections/canadian-guidelines-sexually-transmitted-infections-30.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inceedwardisland.ca/sites/default/files/legislation/p-30-1-public_health_act.pdf" TargetMode="External"/><Relationship Id="rId23" Type="http://schemas.openxmlformats.org/officeDocument/2006/relationships/header" Target="header1.xml"/><Relationship Id="rId10" Type="http://schemas.openxmlformats.org/officeDocument/2006/relationships/hyperlink" Target="https://www.princeedwardisland.ca/sites/default/files/publications/ai_detailed_sch_jan2018.pdf" TargetMode="External"/><Relationship Id="rId19" Type="http://schemas.openxmlformats.org/officeDocument/2006/relationships/hyperlink" Target="https://diseases.canada.ca/notifiable/charts?c=pl" TargetMode="External"/><Relationship Id="rId4" Type="http://schemas.openxmlformats.org/officeDocument/2006/relationships/settings" Target="settings.xml"/><Relationship Id="rId9" Type="http://schemas.openxmlformats.org/officeDocument/2006/relationships/hyperlink" Target="https://www.princeedwardisland.ca/en/information/health-and-wellness/sexually-transmitted-and-bloodborne-infection-rates-pei" TargetMode="External"/><Relationship Id="rId14" Type="http://schemas.openxmlformats.org/officeDocument/2006/relationships/hyperlink" Target="https://www.canada.ca/en/public-health/services/infectious-diseases/sexual-health-sexually-transmitted-infections/canadian-guidelines/national-advisory-committee-stbbi/recommendations-prophylactic-doxycycline-prevention-bacterial-sti-chlamydia-gonorrhea-syphilis.html" TargetMode="External"/><Relationship Id="rId22" Type="http://schemas.openxmlformats.org/officeDocument/2006/relationships/hyperlink" Target="mailto:sti.secretariat-its@phac-asp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xmlns:b="http://schemas.openxmlformats.org/officeDocument/2006/bibliography">
    <b:Tag>5Pu19</b:Tag>
    <b:SourceType>Report</b:SourceType>
    <b:Guid>{93B88DAB-FDCF-4164-8C2A-6A04E9696172}</b:Guid>
    <b:Title> Report on Sexually Transmitted Infection in Canada, 2017</b:Title>
    <b:Year>2019</b:Year>
    <b:City>Ottawa</b:City>
    <b:Publisher>[Online] https://www.canada.ca/en/public-health/services/publications/diseases-conditions/report-sexually-transmitted-infections-canada-2017.html</b:Publisher>
    <b:Author>
      <b:Author>
        <b:NameList>
          <b:Person>
            <b:Last>2019..</b:Last>
            <b:First>5.</b:First>
            <b:Middle>Public Health Agency of Canada.</b:Middle>
          </b:Person>
        </b:NameList>
      </b:Author>
    </b:Author>
    <b:RefOrder>1</b:RefOrder>
  </b:Source>
</b:Sources>
</file>

<file path=customXml/itemProps1.xml><?xml version="1.0" encoding="utf-8"?>
<ds:datastoreItem xmlns:ds="http://schemas.openxmlformats.org/officeDocument/2006/customXml" ds:itemID="{34D8E985-F650-431D-B922-6BF5EADA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6154</Words>
  <Characters>35821</Characters>
  <Application>Microsoft Office Word</Application>
  <DocSecurity>0</DocSecurity>
  <Lines>762</Lines>
  <Paragraphs>437</Paragraphs>
  <ScaleCrop>false</ScaleCrop>
  <HeadingPairs>
    <vt:vector size="2" baseType="variant">
      <vt:variant>
        <vt:lpstr>Title</vt:lpstr>
      </vt:variant>
      <vt:variant>
        <vt:i4>1</vt:i4>
      </vt:variant>
    </vt:vector>
  </HeadingPairs>
  <TitlesOfParts>
    <vt:vector size="1" baseType="lpstr">
      <vt:lpstr>Chlamydia trachomatis</vt:lpstr>
    </vt:vector>
  </TitlesOfParts>
  <Company>PEIGOV</Company>
  <LinksUpToDate>false</LinksUpToDate>
  <CharactersWithSpaces>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Chlamydia trachomatis</dc:title>
  <dc:subject/>
  <dc:creator>jgcole</dc:creator>
  <cp:keywords/>
  <dc:description/>
  <cp:lastModifiedBy>Stacey Burns</cp:lastModifiedBy>
  <cp:revision>2</cp:revision>
  <cp:lastPrinted>2020-01-14T12:24:00Z</cp:lastPrinted>
  <dcterms:created xsi:type="dcterms:W3CDTF">2026-01-14T13:20:00Z</dcterms:created>
  <dcterms:modified xsi:type="dcterms:W3CDTF">2026-01-14T13:20:00Z</dcterms:modified>
</cp:coreProperties>
</file>